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2"/>
        <w:gridCol w:w="4110"/>
      </w:tblGrid>
      <w:tr w:rsidR="00FF1789">
        <w:trPr>
          <w:trHeight w:val="2131"/>
        </w:trPr>
        <w:tc>
          <w:tcPr>
            <w:tcW w:w="5141" w:type="dxa"/>
            <w:shd w:val="clear" w:color="auto" w:fill="auto"/>
          </w:tcPr>
          <w:p w:rsidR="00FF1789" w:rsidRDefault="00433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object w:dxaOrig="641" w:dyaOrig="721">
                <v:shape id="ole_rId2" o:spid="_x0000_i1025" style="width:38.7pt;height:39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Word.Picture.8" ShapeID="ole_rId2" DrawAspect="Content" ObjectID="_1720933793" r:id="rId9"/>
              </w:object>
            </w:r>
          </w:p>
          <w:p w:rsidR="00FF1789" w:rsidRDefault="00FF1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F1789" w:rsidRDefault="00433E8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pl-PL"/>
              </w:rPr>
              <w:t xml:space="preserve">Regionalny Dyrektor </w:t>
            </w: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pl-PL"/>
              </w:rPr>
              <w:br/>
              <w:t>Ochrony Środowiska</w:t>
            </w:r>
          </w:p>
          <w:p w:rsidR="00FF1789" w:rsidRDefault="00433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mallCaps/>
                <w:sz w:val="28"/>
                <w:szCs w:val="28"/>
                <w:lang w:eastAsia="pl-PL"/>
              </w:rPr>
              <w:t>w Gorzowie Wielkopolskim</w:t>
            </w:r>
          </w:p>
        </w:tc>
        <w:tc>
          <w:tcPr>
            <w:tcW w:w="4110" w:type="dxa"/>
            <w:shd w:val="clear" w:color="auto" w:fill="auto"/>
          </w:tcPr>
          <w:p w:rsidR="00FF1789" w:rsidRDefault="00FF1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1789" w:rsidRDefault="00FF1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1789" w:rsidRDefault="00FF1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1789" w:rsidRDefault="00433E8B">
            <w:pPr>
              <w:tabs>
                <w:tab w:val="left" w:pos="3968"/>
              </w:tabs>
              <w:spacing w:after="0" w:line="240" w:lineRule="auto"/>
              <w:ind w:left="-284" w:hanging="28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Gorzów Wlkp., </w:t>
            </w:r>
            <w:r w:rsidR="00E70629" w:rsidRPr="00E7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sierpnia</w:t>
            </w:r>
            <w:r w:rsidRPr="00E706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F1789" w:rsidRDefault="00FF1789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1789" w:rsidRDefault="00FF1789">
            <w:pPr>
              <w:spacing w:after="0" w:line="240" w:lineRule="auto"/>
              <w:ind w:left="-284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1789" w:rsidRDefault="00FF1789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1789" w:rsidRDefault="00FF1789">
            <w:pPr>
              <w:spacing w:after="0" w:line="240" w:lineRule="auto"/>
              <w:ind w:left="-28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1789" w:rsidRDefault="00FF1789">
            <w:pPr>
              <w:spacing w:after="0" w:line="240" w:lineRule="auto"/>
              <w:ind w:left="-284" w:hanging="284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F1789" w:rsidRDefault="00FF1789">
      <w:pPr>
        <w:keepNext/>
        <w:spacing w:after="60" w:line="240" w:lineRule="auto"/>
        <w:jc w:val="both"/>
        <w:outlineLvl w:val="1"/>
        <w:rPr>
          <w:rFonts w:ascii="Arial" w:eastAsia="Arial Unicode MS" w:hAnsi="Arial" w:cs="Arial"/>
          <w:bCs/>
          <w:iCs/>
          <w:sz w:val="20"/>
          <w:szCs w:val="20"/>
          <w:lang w:eastAsia="pl-PL"/>
        </w:rPr>
      </w:pPr>
    </w:p>
    <w:p w:rsidR="00FF1789" w:rsidRDefault="00433E8B">
      <w:pPr>
        <w:keepNext/>
        <w:spacing w:after="60" w:line="240" w:lineRule="auto"/>
        <w:jc w:val="both"/>
        <w:outlineLvl w:val="1"/>
      </w:pP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pl-PL"/>
        </w:rPr>
        <w:t>WZŚ.4221.120.2022.DM</w:t>
      </w:r>
    </w:p>
    <w:p w:rsidR="00FF1789" w:rsidRDefault="00FF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433E8B">
      <w:pPr>
        <w:keepNext/>
        <w:spacing w:before="120" w:after="24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pl-PL"/>
        </w:rPr>
        <w:t>POSTANOWIENIE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FF1789" w:rsidRDefault="00433E8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77 ust. 3 i ust. 4, w związku z art. 77 ust. 1 pkt 1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2022 r., poz. 1029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dalej ustawa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106 § 1 ustawy z dnia 14 czerwca 1960 r. Kodeks postępowania administracyjnego (Dz. U. z 2021 r., poz. 735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ramach postępowania w sprawie oceny oddziaływania na środowisko przeprowadzanego dla przedsięwzięcia pn.: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433E8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„Budowa instalacji fotowoltaicznej o mocy 3 MW wraz z towarzyszącą infrastrukturą, zlokalizowanej na działce o numerze ewidencyjnym 188/1, 188/2, 189, 190/3, 193, obręb ewidencyjny Tuplice (nr 0013), gm. Tuplice”,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433E8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inwestorem jest </w:t>
      </w:r>
    </w:p>
    <w:p w:rsidR="00FF1789" w:rsidRDefault="00433E8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VOTUM GREEN PROJECT S.A. z siedzibą ul. Wyścigowa 56i, 53-012 Wrocław, </w:t>
      </w:r>
    </w:p>
    <w:p w:rsidR="00FF1789" w:rsidRDefault="00433E8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reprezentowana przez pełnomocnika </w:t>
      </w:r>
    </w:p>
    <w:p w:rsidR="00FF1789" w:rsidRDefault="00433E8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Patryka Rakowskiego – Fotowoltaika Ochrona Środowiska </w:t>
      </w:r>
    </w:p>
    <w:p w:rsidR="00FF1789" w:rsidRDefault="00433E8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 siedzibą ul. Reymonta 43, 89-100 Nakło nad Noteci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ą,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433E8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wniosek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Wójta Gminy Tuplice</w:t>
      </w:r>
      <w:r w:rsidRPr="00943A68">
        <w:rPr>
          <w:rFonts w:ascii="Times New Roman" w:hAnsi="Times New Roman" w:cs="Arial"/>
          <w:sz w:val="24"/>
          <w:szCs w:val="24"/>
        </w:rPr>
        <w:t xml:space="preserve"> z dnia </w:t>
      </w:r>
      <w:r w:rsidR="00943A68" w:rsidRPr="00943A68">
        <w:rPr>
          <w:rFonts w:ascii="Times New Roman" w:hAnsi="Times New Roman" w:cs="Arial"/>
          <w:sz w:val="24"/>
          <w:szCs w:val="24"/>
        </w:rPr>
        <w:t xml:space="preserve">29 </w:t>
      </w:r>
      <w:r w:rsidRPr="00943A68">
        <w:rPr>
          <w:rFonts w:ascii="Times New Roman" w:hAnsi="Times New Roman" w:cs="Arial"/>
          <w:sz w:val="24"/>
          <w:szCs w:val="24"/>
        </w:rPr>
        <w:t xml:space="preserve">czerwca 2022 r. znak: </w:t>
      </w:r>
      <w:r w:rsidR="00943A68" w:rsidRPr="00943A68">
        <w:rPr>
          <w:rFonts w:ascii="Times New Roman" w:hAnsi="Times New Roman" w:cs="Arial"/>
          <w:sz w:val="24"/>
          <w:szCs w:val="24"/>
        </w:rPr>
        <w:t>OSII.6220.2.2021.KK (</w:t>
      </w:r>
      <w:r w:rsidRPr="00943A68">
        <w:rPr>
          <w:rFonts w:ascii="Times New Roman" w:hAnsi="Times New Roman" w:cs="Arial"/>
          <w:sz w:val="24"/>
          <w:szCs w:val="24"/>
        </w:rPr>
        <w:t xml:space="preserve">data wpływu: </w:t>
      </w:r>
      <w:r w:rsidR="00943A68" w:rsidRPr="00943A68">
        <w:rPr>
          <w:rFonts w:ascii="Times New Roman" w:hAnsi="Times New Roman" w:cs="Arial"/>
          <w:sz w:val="24"/>
          <w:szCs w:val="24"/>
        </w:rPr>
        <w:t>4 lipca</w:t>
      </w:r>
      <w:r w:rsidRPr="00943A68">
        <w:rPr>
          <w:rFonts w:ascii="Times New Roman" w:hAnsi="Times New Roman" w:cs="Arial"/>
          <w:sz w:val="24"/>
          <w:szCs w:val="24"/>
        </w:rPr>
        <w:t xml:space="preserve"> 2022 r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FF1789" w:rsidRDefault="00FF17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F1789" w:rsidRDefault="00433E8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oparciu o przedłożony przy ww. wniosku raport o oddziaływaniu przedsięwzięcia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środowisko, sporządzony przez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Patryka Rakowskiego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(opracowanie z dnia 23 czerwca </w:t>
      </w:r>
      <w:r w:rsidR="00354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r.),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433E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uzgadniam realizację ww. przedsięwzięcia w wariancie wnioskowanym przez inwestora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określam następujące warunki: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433E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i miejsce realizacji przedsięwzięcia: </w:t>
      </w:r>
    </w:p>
    <w:p w:rsidR="00FF1789" w:rsidRDefault="00433E8B">
      <w:pPr>
        <w:pStyle w:val="Akapitzlist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polega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elektrowni fotowoltaicznej o mocy do 3 MW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wraz z niezbędną infrastrukturą towarzyszącą na działkach nr 188/1, 188/2, 189, 190/3, 193 obręb Tuplice, gmina Tuplice. Całkowita powierzchnia ww. działek wynosi 5,43 ha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cała zostanie przeznaczona do realizacji przedsięwzięcia.</w:t>
      </w:r>
    </w:p>
    <w:p w:rsidR="00FF1789" w:rsidRDefault="00FF178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F1789" w:rsidRDefault="00433E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realizacji na etapie budowy, eksploatacji i likwidacji przedsięwzięcia:</w:t>
      </w:r>
    </w:p>
    <w:p w:rsidR="003D0414" w:rsidRPr="003D0414" w:rsidRDefault="003D0414" w:rsidP="003D0414">
      <w:pPr>
        <w:pStyle w:val="Akapitzlist"/>
        <w:numPr>
          <w:ilvl w:val="1"/>
          <w:numId w:val="1"/>
        </w:numPr>
        <w:spacing w:after="0" w:line="240" w:lineRule="auto"/>
        <w:ind w:left="993" w:hanging="559"/>
        <w:jc w:val="both"/>
        <w:rPr>
          <w:color w:val="C9211E"/>
        </w:rPr>
      </w:pPr>
      <w:r w:rsidRPr="003D0414">
        <w:rPr>
          <w:rFonts w:ascii="Times New Roman" w:hAnsi="Times New Roman" w:cs="Times New Roman"/>
          <w:sz w:val="24"/>
          <w:szCs w:val="24"/>
        </w:rPr>
        <w:t>Wykopy otwierać krótko przed ułożeniem instalacji, nie przetrzymywać ich,</w:t>
      </w:r>
      <w:r w:rsidRPr="003D0414">
        <w:rPr>
          <w:rFonts w:ascii="Times New Roman" w:hAnsi="Times New Roman" w:cs="Times New Roman"/>
          <w:sz w:val="24"/>
          <w:szCs w:val="24"/>
        </w:rPr>
        <w:br/>
        <w:t>i natychmiast zasypywać po wykonanej pracy, by nie stanowiły pułapki dla zwierząt.</w:t>
      </w:r>
    </w:p>
    <w:p w:rsidR="00FF1789" w:rsidRDefault="00FF1789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FF1789" w:rsidRDefault="00433E8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Wymagania dotyczące ochrony środowi</w:t>
      </w:r>
      <w:r w:rsidR="00354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 konieczne do uwzględnienia </w:t>
      </w:r>
      <w:r w:rsidR="00354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dokumentacji wymaganej do wydania decyzji, o której mowa w art. 72 ust. 1 ustawy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ooś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1789" w:rsidRDefault="00433E8B">
      <w:pPr>
        <w:pStyle w:val="Akapitzlist"/>
        <w:numPr>
          <w:ilvl w:val="1"/>
          <w:numId w:val="2"/>
        </w:numPr>
        <w:spacing w:after="0" w:line="24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Zainstalować panele fotowoltaiczne o łącznej mocy elektrowni fotowoltaicznej </w:t>
      </w:r>
      <w:r>
        <w:rPr>
          <w:rFonts w:ascii="Times New Roman" w:hAnsi="Times New Roman" w:cs="Times New Roman"/>
          <w:sz w:val="24"/>
          <w:szCs w:val="24"/>
        </w:rPr>
        <w:br/>
        <w:t>do 3 MW.</w:t>
      </w:r>
    </w:p>
    <w:p w:rsidR="00FF1789" w:rsidRPr="003D0414" w:rsidRDefault="00433E8B">
      <w:pPr>
        <w:pStyle w:val="Akapitzlist"/>
        <w:numPr>
          <w:ilvl w:val="1"/>
          <w:numId w:val="2"/>
        </w:numPr>
        <w:spacing w:after="0" w:line="24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Zastosować panele fotowoltaiczne pokryte powłoką antyrefleksyjną.</w:t>
      </w:r>
    </w:p>
    <w:p w:rsidR="003D0414" w:rsidRPr="003D0414" w:rsidRDefault="003D0414" w:rsidP="003D0414">
      <w:pPr>
        <w:pStyle w:val="Akapitzlist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0414">
        <w:rPr>
          <w:rFonts w:ascii="Times New Roman" w:hAnsi="Times New Roman" w:cs="Times New Roman"/>
          <w:sz w:val="24"/>
          <w:szCs w:val="24"/>
        </w:rPr>
        <w:t xml:space="preserve">Zastosować </w:t>
      </w:r>
      <w:r w:rsidR="00B636A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3 szt. </w:t>
      </w:r>
      <w:r w:rsidR="00323425">
        <w:rPr>
          <w:rFonts w:ascii="Times New Roman" w:hAnsi="Times New Roman" w:cs="Times New Roman"/>
          <w:sz w:val="24"/>
          <w:szCs w:val="24"/>
        </w:rPr>
        <w:t xml:space="preserve">kontenerowych </w:t>
      </w:r>
      <w:r>
        <w:rPr>
          <w:rFonts w:ascii="Times New Roman" w:hAnsi="Times New Roman" w:cs="Times New Roman"/>
          <w:sz w:val="24"/>
          <w:szCs w:val="24"/>
        </w:rPr>
        <w:t>stacji transformatorowych</w:t>
      </w:r>
      <w:r w:rsidRPr="003D0414">
        <w:rPr>
          <w:rFonts w:ascii="Times New Roman" w:hAnsi="Times New Roman" w:cs="Times New Roman"/>
          <w:sz w:val="24"/>
          <w:szCs w:val="24"/>
        </w:rPr>
        <w:t xml:space="preserve">, każda o poziomie mocy akustycznej nie większym niż 74 </w:t>
      </w:r>
      <w:proofErr w:type="spellStart"/>
      <w:r w:rsidRPr="003D0414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323425">
        <w:rPr>
          <w:rFonts w:ascii="Times New Roman" w:hAnsi="Times New Roman" w:cs="Times New Roman"/>
          <w:sz w:val="24"/>
          <w:szCs w:val="24"/>
        </w:rPr>
        <w:t>.</w:t>
      </w:r>
    </w:p>
    <w:p w:rsidR="00FF1789" w:rsidRPr="00323425" w:rsidRDefault="003D0414" w:rsidP="00323425">
      <w:pPr>
        <w:pStyle w:val="Akapitzlist"/>
        <w:numPr>
          <w:ilvl w:val="1"/>
          <w:numId w:val="2"/>
        </w:numPr>
        <w:spacing w:after="0" w:line="240" w:lineRule="auto"/>
        <w:ind w:left="993" w:hanging="567"/>
        <w:jc w:val="both"/>
      </w:pPr>
      <w:r w:rsidRPr="003D0414">
        <w:rPr>
          <w:rFonts w:ascii="Times New Roman" w:hAnsi="Times New Roman" w:cs="Times New Roman"/>
          <w:sz w:val="24"/>
          <w:szCs w:val="24"/>
        </w:rPr>
        <w:t>Zastosować stacje transformatorowe z modułem suchym; dopuszcza się zastosowanie transformatorów olejowych ze szczelną misą olejową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789" w:rsidRPr="00DF7A3A" w:rsidRDefault="00433E8B">
      <w:pPr>
        <w:pStyle w:val="Akapitzlist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A3A">
        <w:rPr>
          <w:rFonts w:ascii="Times New Roman" w:hAnsi="Times New Roman" w:cs="Times New Roman"/>
          <w:sz w:val="24"/>
          <w:szCs w:val="24"/>
        </w:rPr>
        <w:t xml:space="preserve">Zastosować </w:t>
      </w:r>
      <w:r w:rsidR="00B636A7">
        <w:rPr>
          <w:rFonts w:ascii="Times New Roman" w:hAnsi="Times New Roman" w:cs="Times New Roman"/>
          <w:sz w:val="24"/>
          <w:szCs w:val="24"/>
        </w:rPr>
        <w:t xml:space="preserve">do </w:t>
      </w:r>
      <w:r w:rsidR="00323425">
        <w:rPr>
          <w:rFonts w:ascii="Times New Roman" w:hAnsi="Times New Roman" w:cs="Times New Roman"/>
          <w:sz w:val="24"/>
          <w:szCs w:val="24"/>
        </w:rPr>
        <w:t xml:space="preserve">150 szt. </w:t>
      </w:r>
      <w:r w:rsidRPr="00DF7A3A">
        <w:rPr>
          <w:rFonts w:ascii="Times New Roman" w:hAnsi="Times New Roman" w:cs="Times New Roman"/>
          <w:sz w:val="24"/>
          <w:szCs w:val="24"/>
        </w:rPr>
        <w:t>inwerter</w:t>
      </w:r>
      <w:r w:rsidR="00323425">
        <w:rPr>
          <w:rFonts w:ascii="Times New Roman" w:hAnsi="Times New Roman" w:cs="Times New Roman"/>
          <w:sz w:val="24"/>
          <w:szCs w:val="24"/>
        </w:rPr>
        <w:t xml:space="preserve">ów, </w:t>
      </w:r>
      <w:r w:rsidRPr="00DF7A3A">
        <w:rPr>
          <w:rFonts w:ascii="Times New Roman" w:hAnsi="Times New Roman" w:cs="Times New Roman"/>
          <w:sz w:val="24"/>
          <w:szCs w:val="24"/>
        </w:rPr>
        <w:t>każdy o poziomie mocy akusty</w:t>
      </w:r>
      <w:r w:rsidR="00B636A7">
        <w:rPr>
          <w:rFonts w:ascii="Times New Roman" w:hAnsi="Times New Roman" w:cs="Times New Roman"/>
          <w:sz w:val="24"/>
          <w:szCs w:val="24"/>
        </w:rPr>
        <w:t xml:space="preserve">cznej </w:t>
      </w:r>
      <w:r w:rsidR="00B636A7">
        <w:rPr>
          <w:rFonts w:ascii="Times New Roman" w:hAnsi="Times New Roman" w:cs="Times New Roman"/>
          <w:sz w:val="24"/>
          <w:szCs w:val="24"/>
        </w:rPr>
        <w:br/>
      </w:r>
      <w:r w:rsidRPr="00DF7A3A">
        <w:rPr>
          <w:rFonts w:ascii="Times New Roman" w:hAnsi="Times New Roman" w:cs="Times New Roman"/>
          <w:sz w:val="24"/>
          <w:szCs w:val="24"/>
        </w:rPr>
        <w:t>nie większym niż</w:t>
      </w:r>
      <w:r w:rsidRPr="00DF7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65 </w:t>
      </w:r>
      <w:proofErr w:type="spellStart"/>
      <w:r w:rsidRPr="00DF7A3A">
        <w:rPr>
          <w:rFonts w:ascii="Times New Roman" w:eastAsia="Calibri" w:hAnsi="Times New Roman" w:cs="Times New Roman"/>
          <w:sz w:val="24"/>
          <w:szCs w:val="24"/>
          <w:lang w:eastAsia="pl-PL"/>
        </w:rPr>
        <w:t>dB</w:t>
      </w:r>
      <w:proofErr w:type="spellEnd"/>
      <w:r w:rsidRPr="00DF7A3A">
        <w:rPr>
          <w:rFonts w:ascii="Times New Roman" w:hAnsi="Times New Roman" w:cs="Times New Roman"/>
          <w:sz w:val="24"/>
          <w:szCs w:val="24"/>
        </w:rPr>
        <w:t>.</w:t>
      </w:r>
    </w:p>
    <w:p w:rsidR="00DF7A3A" w:rsidRPr="00DF7A3A" w:rsidRDefault="00DF7A3A" w:rsidP="00DF7A3A">
      <w:pPr>
        <w:pStyle w:val="Akapitzlist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A3A">
        <w:rPr>
          <w:rFonts w:ascii="Times New Roman" w:hAnsi="Times New Roman" w:cs="Times New Roman"/>
          <w:sz w:val="24"/>
          <w:szCs w:val="24"/>
        </w:rPr>
        <w:t>Nawierzchnię dróg wewnętrznych wykonać jako nieutwardzoną, przepuszczalną.</w:t>
      </w:r>
    </w:p>
    <w:p w:rsidR="00FE77F0" w:rsidRPr="00FE77F0" w:rsidRDefault="00433E8B" w:rsidP="00FE77F0">
      <w:pPr>
        <w:pStyle w:val="Akapitzlist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A3A">
        <w:rPr>
          <w:rFonts w:ascii="Times New Roman" w:hAnsi="Times New Roman" w:cs="Times New Roman"/>
          <w:sz w:val="24"/>
          <w:szCs w:val="24"/>
          <w:lang w:eastAsia="x-none"/>
        </w:rPr>
        <w:t>O</w:t>
      </w:r>
      <w:r w:rsidRPr="00DF7A3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grodzenie </w:t>
      </w:r>
      <w:r w:rsidR="00FE77F0" w:rsidRPr="00DF7A3A">
        <w:rPr>
          <w:rFonts w:ascii="Times New Roman" w:hAnsi="Times New Roman" w:cs="Times New Roman"/>
          <w:sz w:val="24"/>
          <w:szCs w:val="24"/>
        </w:rPr>
        <w:t>elektrowni fotowoltaicznej montować bez podmurówki</w:t>
      </w:r>
      <w:r w:rsidR="00FE77F0" w:rsidRPr="00FE77F0">
        <w:rPr>
          <w:rFonts w:ascii="Times New Roman" w:hAnsi="Times New Roman" w:cs="Times New Roman"/>
          <w:sz w:val="24"/>
          <w:szCs w:val="24"/>
        </w:rPr>
        <w:t xml:space="preserve"> z zachowaniem wolnej przestrzeni, o wysokości minimum piętnastu centymetrów, nad gruntem.</w:t>
      </w:r>
    </w:p>
    <w:p w:rsidR="00FF1789" w:rsidRDefault="00FF178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8"/>
          <w:szCs w:val="8"/>
          <w:lang w:val="x-none" w:eastAsia="x-none"/>
        </w:rPr>
      </w:pPr>
    </w:p>
    <w:p w:rsidR="00FF1789" w:rsidRDefault="00433E8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 ramach postępowania w sprawie wydania decyzji, o której mowa w art. 72 ust. 1 ustawy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brak jest konieczności:</w:t>
      </w:r>
    </w:p>
    <w:p w:rsidR="00FF1789" w:rsidRDefault="00433E8B">
      <w:pPr>
        <w:spacing w:after="0" w:line="240" w:lineRule="auto"/>
        <w:ind w:left="994" w:hanging="5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przeprowadzenia oceny oddziaływania na środowisko,</w:t>
      </w:r>
    </w:p>
    <w:p w:rsidR="00FF1789" w:rsidRDefault="00433E8B">
      <w:pPr>
        <w:spacing w:after="0" w:line="240" w:lineRule="auto"/>
        <w:ind w:left="994" w:hanging="5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przeprowadzenia postępowania w sprawie transgranicznego oddziaływania przedsięwzięcia na środowisko.</w:t>
      </w:r>
    </w:p>
    <w:p w:rsidR="00FF1789" w:rsidRDefault="00FF17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F1789" w:rsidRDefault="00FF17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F1789" w:rsidRDefault="00433E8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F1789" w:rsidRDefault="00FF17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789" w:rsidRDefault="00433E8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Wójt Gminy Tuplice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 do Regionalnego Dyrektora Ochrony Środowiska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Gorzowie Wielkopolskim z wnioskiem z dnia </w:t>
      </w:r>
      <w:r w:rsidR="00943A68"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 2022 r. znak: OSII.6220.2.2021.KK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 wpływu: 4 lipca 2022 r.)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uzgodnienie warunków realizacji przedsięwzięcia pn.: „Budowa instalacji fotowoltaicznej o mocy 3 MW wraz z towarzyszącą infrastrukturą, zlokalizowanej na działce o numerze ewidencyjnym 188/1, 188/2, 189, 190/3, 193, obręb ewidencyjny Tuplice (nr 0013), gm. Tuplice”, którego inwestorem jest 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VOTUM GREEN PROJECT S.A.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 siedzibą ul. Wyścigowa 56i, 53-012 Wrocław, reprezentowana 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przez pełnomocnika Patryka Rakowskiego – Fotowoltaika Ochrona Środowiska z siedzibą 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ul. Reymonta 43, 89-100 Nakło nad Noteci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ą, przedkładając:</w:t>
      </w:r>
    </w:p>
    <w:p w:rsidR="00FF1789" w:rsidRDefault="00433E8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o oddziaływaniu przedsięwzięcia na środowisko, sporządzony przez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Patryka Rakowskiego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(opracowanie z dnia 23 czerwca 2022 r.),</w:t>
      </w:r>
    </w:p>
    <w:p w:rsidR="00FF1789" w:rsidRDefault="00433E8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kopię wniosku z dnia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21 września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pl-PL"/>
        </w:rPr>
        <w:t xml:space="preserve"> 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decyzji o środowiskowych uwarunkowaniach,</w:t>
      </w:r>
    </w:p>
    <w:p w:rsidR="00FF1789" w:rsidRPr="00943A68" w:rsidRDefault="00433E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informację o braku miejscowego planu zagospodarowania przestrzennego dla terenu inwestycji.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złożone wraz z wnioskiem o uzgodnienie warunków realizacji przedsięwzięcia spełniają wymagania, o których mowa w art. 77 ust. 2 ustawy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1789" w:rsidRDefault="00433E8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raporcie o oddziaływaniu przedsięwzięcia na środowisko została zamieszczona w 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943A68"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5 lipc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2022 r. pod nr </w:t>
      </w:r>
      <w:r w:rsidR="00943A68"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/2022 w publicznie dostępnym wykazie danych, prowadzonym w myśl art. 22 ustawy o </w:t>
      </w:r>
      <w:proofErr w:type="spellStart"/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3A68">
        <w:t xml:space="preserve"> 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ww. dokumentów ustalono, co następuje:</w:t>
      </w:r>
    </w:p>
    <w:p w:rsidR="00FF1789" w:rsidRDefault="00433E8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obejmuje budowę elektrowni fotowoltaicznej o mocy do 3 MW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wraz z niezbędną infrastrukturą towarzyszącą na działkach nr 188/1, 188/2, 189, 190/3, 193 obręb Tuplice, gmina Tuplice. </w:t>
      </w:r>
    </w:p>
    <w:p w:rsidR="00FF1789" w:rsidRDefault="00433E8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Planowaną elektrownię fotowoltaiczną tworzyć będą: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konstrukcje i elementy montażowe, panele fotowoltaiczne o mocy jednostkowej od 360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Wp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do 500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Wp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falowniki DC/AC 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(3-150 szt.), okablowanie solarne, stacje transformatorowe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/SN (3 szt.), wyposażone 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transformator olejowy lub suchy o mocy znamionowej do 2000 kVA, rozdzielnie, układ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pomiarowy, układy zabezpieczające, linie kablowe niskiego i średniego napięcia oraz pozostałe oprzyrządowanie, drogi wewnęt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rzne nieutwardzone, ogrodzenie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 siatki, monitoring, oświetlenie. Nie planuje się stałego oświetlenia </w:t>
      </w:r>
      <w:r w:rsidR="00354D2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elektrowni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w porze nocnej.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konstrukcji wsporczej wraz z zamontowanymi panelami fotowoltaicznymi nie przekroczy 4 m. 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chwilę obecną nie jest znane miejsce przyłączenia inwestycji do Krajowego Systemu Elektroenergetycznego (KSE), które zostanie wskazane w warunkach przyłączeniowych.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Dojazd do terenu przedsięwzięcia zapewni układ dróg lokalnych, które graniczą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działkami inwestycyjnymi.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Teren, na którym realizowane będzie przedmiotowe przedsięwzięcie nie jest objęty miejscowym planem zagospodarowania przestrzennego.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miejsce realizacji przedsięwzięcia wskazano w pkt 1 niniejszego postanowienia.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w raporcie o oddziaływaniu na środowisko informacje o planowanym przedsięwzięciu są wystarczające do oceny oddziaływania analizowanego przedsięwzięcia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środowisko i pozwalają zdefiniować warunki realizacji, eksploatacji i likwidacji przedsięwzięcia, zapewniające ochronę wszystkich komponentów środowiska – pkt 2 niniejszego postanowienia oraz wymagania dotyczące ochrony środowiska konieczne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uwzględnienia w dokumentacji wymaganej do wydania decyzji, o której mowa w art. 72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1 ustawy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pkt 3.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przedsięwzięcie, zgodnie z § 3 ust. 1 pkt 54 lit. a rozporządzenia Rady Ministrów z dnia 10 września 2019 r. w sprawie przedsięwzięć mogących znacząco oddziaływać na środowisko (Dz. U. z 2019 r., poz. 1839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 myśl art. 59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1 pkt 2 ustawy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przedsięwzięciem mogącym potencjalnie znacząco oddziaływać na środowisko, którego realizacja wymaga uzyskania decyzji o środowiskowych uwarunkowaniach.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art. 71 ust. 2 pkt 2 ustawy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planowanych przedsięwzięć mogących potencjalnie znacząco oddziaływać na środowisko wymagane jest uzyskanie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środowiskowych uwarunkowaniach.</w:t>
      </w:r>
    </w:p>
    <w:p w:rsidR="00FF1789" w:rsidRDefault="00433E8B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przeprowadzenia oceny oddziaływania na środowisko dla przedmiotowego przedsięwzięcia został stwierdzo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w postanowieniu </w:t>
      </w:r>
      <w:r w:rsidRPr="00943A68">
        <w:rPr>
          <w:rFonts w:ascii="Times New Roman" w:eastAsia="Times New Roman" w:hAnsi="Times New Roman" w:cs="Arial"/>
          <w:sz w:val="24"/>
          <w:szCs w:val="24"/>
          <w:lang w:eastAsia="pl-PL"/>
        </w:rPr>
        <w:t>Wójta Gminy Tuplice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43A68"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listopada </w:t>
      </w:r>
      <w:r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znak: </w:t>
      </w:r>
      <w:r w:rsidR="00943A68" w:rsidRP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>OSII.6220.2.2021.KK.</w:t>
      </w:r>
    </w:p>
    <w:p w:rsidR="00FF1789" w:rsidRDefault="00433E8B" w:rsidP="00943A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art. 77 ust. 1 pkt 1 ustawy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jest przeprowadzana ocena oddziaływania na środowisko, organ właściwy do wydania decyzji o środowiskowych uwarunkowaniach, przed wydaniem tej decyzji, uzgadnia waru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 realizacji przedsięwzięcia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regionalnym dyrektorem ochrony środowiska.</w:t>
      </w:r>
    </w:p>
    <w:p w:rsidR="00FF1789" w:rsidRPr="0014496C" w:rsidRDefault="00433E8B" w:rsidP="00144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zlokalizowane będzie na działkach nr 188/1, 188/2, 189, 190/3, 193 obręb Tuplice. Przedmiotowe działki są niezabudowane. W obrębie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działek występują grunty rolne – orne (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RIVa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RIVb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, RV) i łąki trwałe (ŁIV). Teren planowanej inwestycji położony jest w </w:t>
      </w:r>
      <w:r w:rsidR="00B636A7">
        <w:rPr>
          <w:rFonts w:ascii="Times New Roman" w:eastAsia="Times New Roman" w:hAnsi="Times New Roman" w:cs="Arial"/>
          <w:sz w:val="24"/>
          <w:szCs w:val="24"/>
          <w:lang w:eastAsia="pl-PL"/>
        </w:rPr>
        <w:t>sąsiedztwie terenów rolnych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6A7">
        <w:rPr>
          <w:rFonts w:ascii="Times New Roman" w:eastAsia="Times New Roman" w:hAnsi="Times New Roman" w:cs="Arial"/>
          <w:sz w:val="24"/>
          <w:szCs w:val="24"/>
          <w:lang w:eastAsia="pl-PL"/>
        </w:rPr>
        <w:t>drogi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B636A7">
        <w:rPr>
          <w:rFonts w:ascii="Times New Roman" w:eastAsia="Times New Roman" w:hAnsi="Times New Roman" w:cs="Arial"/>
          <w:sz w:val="24"/>
          <w:szCs w:val="24"/>
          <w:lang w:eastAsia="pl-PL"/>
        </w:rPr>
        <w:t>powiatowej</w:t>
      </w:r>
      <w:r w:rsidR="00B636A7" w:rsidRPr="00B636A7">
        <w:t xml:space="preserve"> </w:t>
      </w:r>
      <w:r w:rsidR="00B636A7">
        <w:t xml:space="preserve">i </w:t>
      </w:r>
      <w:r w:rsidR="00B636A7">
        <w:rPr>
          <w:rFonts w:ascii="Times New Roman" w:eastAsia="Times New Roman" w:hAnsi="Times New Roman" w:cs="Arial"/>
          <w:sz w:val="24"/>
          <w:szCs w:val="24"/>
          <w:lang w:eastAsia="pl-PL"/>
        </w:rPr>
        <w:t>dróg polnych</w:t>
      </w:r>
      <w:r w:rsidR="00B636A7" w:rsidRPr="00B636A7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  <w:r w:rsidR="00B636A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proofErr w:type="spellStart"/>
      <w:r w:rsidR="00B636A7">
        <w:rPr>
          <w:rFonts w:ascii="Times New Roman" w:eastAsia="Times New Roman" w:hAnsi="Times New Roman" w:cs="Arial"/>
          <w:sz w:val="24"/>
          <w:szCs w:val="24"/>
          <w:lang w:eastAsia="pl-PL"/>
        </w:rPr>
        <w:t>zadrzewień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oraz </w:t>
      </w:r>
      <w:r w:rsidR="00C734A6">
        <w:rPr>
          <w:rFonts w:ascii="Times New Roman" w:eastAsia="Times New Roman" w:hAnsi="Times New Roman" w:cs="Arial"/>
          <w:sz w:val="24"/>
          <w:szCs w:val="24"/>
          <w:lang w:eastAsia="pl-PL"/>
        </w:rPr>
        <w:t>niewielkich zbiorników wodnych i</w:t>
      </w:r>
      <w:r w:rsidR="00C734A6" w:rsidRPr="00C734A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teren</w:t>
      </w:r>
      <w:r w:rsidR="00C734A6">
        <w:rPr>
          <w:rFonts w:ascii="Times New Roman" w:eastAsia="Times New Roman" w:hAnsi="Times New Roman" w:cs="Arial"/>
          <w:sz w:val="24"/>
          <w:szCs w:val="24"/>
          <w:lang w:eastAsia="pl-PL"/>
        </w:rPr>
        <w:t>ów okresowo podmokłych</w:t>
      </w:r>
      <w:r w:rsidR="00C734A6" w:rsidRPr="00C734A6">
        <w:rPr>
          <w:rFonts w:ascii="Times New Roman" w:eastAsia="Times New Roman" w:hAnsi="Times New Roman" w:cs="Arial"/>
          <w:sz w:val="24"/>
          <w:szCs w:val="24"/>
          <w:lang w:eastAsia="pl-PL"/>
        </w:rPr>
        <w:t>.</w:t>
      </w:r>
      <w:r w:rsidR="00C734A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Teren inwestycji położony jest w sąsiedztwie miejscowości Tuplice, na północ od tej miejscowości.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realizacji przedsięwzięcia związany będzie z szeregiem oddziaływań,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względu na charakter przedsięwzięcia będą rozłożone w czasie. Etap budowy związany będzie z emisjami typowymi dla robót budowlano-montażowych. Występować będzie niezorganizowana emisja zanieczyszczeń do powietrza (gazów spalinowych i pyłów)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hałasu i drgań do otoczenia, których źródłem będą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maszyny i urządzenia budowlane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  <w:t>oraz sprzęt transportowy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budowlano-montażowe prowadzone będą w porze dziennej,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6.00 – 22.00, przy użyciu sprawnego technicznie sprzętu. Wykonywanie napraw sprzętu budowlanego odbywać się będzie poza terenem wykonywanych prac. W razie potrzeby tankowania sprzętu zostaną wykorzystane maty absorbujące, zapobiegające ewentualnym przeciekom substancji szkodliwych do podłoża. Plac budowy zabezpieczony będzie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sorbenty. Miejsce postoju maszyn budowlanych posiadać będzie utwardzoną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uszczelnioną powierzchnią. Etap realizacji przedsięwzięcia wiązać się będzie także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naruszeniem mas ziemnych, powstawaniem odpadów i ścieków. Prace ziemne spowodują tymczasowe przekształcenie powierzchni ziemi, m.in. w wyniku realizacji wykopów pod linie kablowe. Ziemia powstała podczas wykopów zostanie wykorzystana do ich zasypania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wyrównania terenu wokół nich. Powstawać bę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 głównie odpady opakowaniowe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budowlane, u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jęte w grupach 15 i 17 Katalogu odpadów. Wy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twarzane odpady gromadzone będą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selektywnie, w miejscu chronionym przed rozwiewaniem oraz niekorzystnym wpływem zmiennych warunków atmosferycznych, odizolowanym od dostępu osób trzecich.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przekazywane będą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podmiotom posiadającym wymagane zezwolenia.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budowy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 będzie w przenośne toalety, wyposa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żone w zbiorniki bezodpływowe.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Ścieki byt</w:t>
      </w:r>
      <w:r w:rsidR="00354D2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owe odbierane będą przez firmy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zajmują</w:t>
      </w:r>
      <w:r w:rsidR="00354D24">
        <w:rPr>
          <w:rFonts w:ascii="Times New Roman" w:eastAsia="Times New Roman" w:hAnsi="Times New Roman" w:cs="Arial"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się wywozem nieczystości płynnych.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Reasumując, należy przyjąć, że oddziaływania występujące na etapie realizacji przedsięwzięcia będą miały charakter krótkotrwały, prz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ejściowy i lokalny, ustaną 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użytkowania przedsięwzięcia nie będzie związany ze znaczącymi oddziaływaniami. Podczas eksploatacji inwestycji nie przewiduje się powstawania odpadów, za wyjątkiem odpadów powstających podczas prowadzenia prac k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onserwacyjnych urządzeń technicznych. Powstałe w wyniku tych prac odpady będą zagospodar</w:t>
      </w:r>
      <w:r w:rsidR="00943A6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owane zgodnie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 obowiązującymi przepisami prawa. Na terenie elektrowni nie przewiduje się magazynowania odpadów.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inwestycja nie wy</w:t>
      </w:r>
      <w:r w:rsid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maga budowy zaplecza socjalnego,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infrastruktury wodno-kanalizacyjnej.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będzie wiązać się z emisją ścieków bytowych. Zabieg mycia paneli wykonywany będzie przy użycie zdemineralizowanej wody, bez dodatku substancji chemicznych/detergentów, lub za pomocą bezwodnej technologii. Woda z mycia paneli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analogicznie do wody deszczowej, będzie swobodnie spływ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powierzchni paneli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gruntu w granicach terenu znajdującego się we władaniu inwestora. Projektowana inwestycja wyposażona będzie w stacje transformatorowe. W każdej stacji zostanie zamontowany jeden transformator olejowy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 w misę olejową. Dopuszcza się także zastosowanie transformatorów suchych. W ramach niniejszego uzgodnienia w pkt 3 ustalono graniczne parametry dotyczące wyposażenia farmy fotowoltaicznej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2342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pkt 3.4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3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 zadanie ochronę środowiska gruntowo-wodnego. 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Etap użytkowania instalacji nie będzie związany ze znaczącymi oddziaływaniami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zakresie emisji zanieczyszczeń do powietrza. Zgodnie z przedłożonym raportem, obiektami na terenie farmy mogącymi powodować emisję hałasu będą: stacje transformatorowe (3 szt.)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– obiekty kontenerowe, prefabrykowane, każda o pozio</w:t>
      </w:r>
      <w:r w:rsidR="00800D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 mocy akustycznej do 74 </w:t>
      </w:r>
      <w:proofErr w:type="spellStart"/>
      <w:r w:rsidR="00800D6E">
        <w:rPr>
          <w:rFonts w:ascii="Times New Roman" w:eastAsia="Calibri" w:hAnsi="Times New Roman" w:cs="Times New Roman"/>
          <w:sz w:val="24"/>
          <w:szCs w:val="24"/>
          <w:lang w:eastAsia="pl-PL"/>
        </w:rPr>
        <w:t>dB</w:t>
      </w:r>
      <w:proofErr w:type="spellEnd"/>
      <w:r w:rsidR="00800D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800D6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inwertery (3-150 szt.), każdy o poziomie mocy akustycznej do 65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Stacje transformatorowe planuje się zlokalizować w odległości 765 m od najbliższej zabudowy mieszkalnej, położonej na działce nr 168/2 obręb Tuplice. Wymieniona zabudowa usytuowana jest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odległości ok. 480 m od </w:t>
      </w:r>
      <w:r>
        <w:rPr>
          <w:rFonts w:ascii="Times New Roman" w:eastAsia="Calibri" w:hAnsi="Times New Roman" w:cs="Arial"/>
          <w:sz w:val="24"/>
          <w:szCs w:val="24"/>
          <w:lang w:eastAsia="pl-PL"/>
        </w:rPr>
        <w:t xml:space="preserve">granic terenu inwestycyjnego.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Okazjonalnie źródłem hałasu </w:t>
      </w:r>
      <w:r w:rsidR="00800D6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terenie farmy będą prace serwisowe i konserwacyjne, w tym usuwanie zabrudzeń </w:t>
      </w:r>
      <w:r w:rsidR="00800D6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 powierzchni paneli i koszenie roślinno</w:t>
      </w:r>
      <w:r w:rsidR="00943A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ści. Mając na uwadze powyższe,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przewiduje się możliwości negatywnego oddziaływania przedsięwzięcia na tereny chronione akustycznie.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Inwestycja będzie również źródłem pola elektromagnetycznego związanego głównie z pracą transform</w:t>
      </w:r>
      <w:r w:rsidR="00800D6E">
        <w:rPr>
          <w:rFonts w:ascii="Times New Roman" w:eastAsia="Calibri" w:hAnsi="Times New Roman" w:cs="Times New Roman"/>
          <w:sz w:val="24"/>
          <w:szCs w:val="24"/>
          <w:lang w:eastAsia="pl-PL"/>
        </w:rPr>
        <w:t>atorów, inwerterów, rozdzielnic 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linii kablowych. Oddziaływanie ww. urządzeń elektrycznych ogranicza</w:t>
      </w:r>
      <w:r w:rsidR="00943A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 będzie poprzez umieszczenie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ich w obudowach/kontenerach. Wszystkie linie kablowe niskiego i średniego napięcia (oprócz przewodów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nN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prowadzonych po konstrukcji nośnej pan</w:t>
      </w:r>
      <w:r w:rsidR="00943A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eli) umieszczone będą w ziemi.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przewiduje się znaczącego oddziaływania przedsięwzięcia w tym zakresie. 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eksploatacji przedsięwzięcia wynosić będzie ok. 25-30 lat. Po tym okresie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dojdzie do fizycznej likwidacji obiektów przedsięwzię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cia. Instalacja fotowoltaiczna </w:t>
      </w:r>
      <w:r w:rsidR="0094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infrastrukturą towarzyszącą zostanie rozebrana, zezłomowana i zutylizowana, a teren inwestycji przywrócony do stanu sprzed budowy przedsięwzięcia. Wpływ przedsięwzięcia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środowisko podczas jego likwidacji, nie będzie większy niż na etapie jego budowy. 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sąsiedztwie przedsięwzięcia planuje się budowę dwóch odrębnych farm fotowoltaicznych: na działce nr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116/3 obręb Tuplice, gmina Tuplice – farma "EPV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 xml:space="preserve">Tuplice </w:t>
      </w:r>
      <w:r w:rsidRPr="00433E8B">
        <w:rPr>
          <w:rFonts w:ascii="Times New Roman" w:eastAsia="Times New Roman" w:hAnsi="Times New Roman" w:cs="Arial"/>
          <w:sz w:val="24"/>
          <w:szCs w:val="24"/>
          <w:lang w:eastAsia="pl-PL"/>
        </w:rPr>
        <w:t>– 3" o mocy do 1,0 MW</w:t>
      </w:r>
      <w:r w:rsidRPr="00433E8B">
        <w:t xml:space="preserve"> </w:t>
      </w:r>
      <w:r w:rsidRPr="00433E8B">
        <w:rPr>
          <w:rFonts w:ascii="Times New Roman" w:eastAsia="Times New Roman" w:hAnsi="Times New Roman" w:cs="Arial"/>
          <w:sz w:val="24"/>
          <w:szCs w:val="24"/>
          <w:lang w:eastAsia="pl-PL"/>
        </w:rPr>
        <w:t>wraz z niezbędną infrastrukturą, oraz n</w:t>
      </w:r>
      <w:r w:rsidRPr="0043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nr </w:t>
      </w:r>
      <w:r w:rsidRPr="00433E8B">
        <w:rPr>
          <w:rFonts w:ascii="Times New Roman" w:eastAsia="Times New Roman" w:hAnsi="Times New Roman" w:cs="Arial"/>
          <w:sz w:val="24"/>
          <w:szCs w:val="24"/>
          <w:lang w:eastAsia="pl-PL"/>
        </w:rPr>
        <w:t>116/3 obręb Tuplice, gmina Tuplice – farma "EPV Tuplice – 4" o mocy do 1,0 MW</w:t>
      </w:r>
      <w:r w:rsidRPr="00433E8B">
        <w:t xml:space="preserve"> </w:t>
      </w:r>
      <w:r w:rsidRPr="00433E8B">
        <w:rPr>
          <w:rFonts w:ascii="Times New Roman" w:eastAsia="Times New Roman" w:hAnsi="Times New Roman" w:cs="Arial"/>
          <w:sz w:val="24"/>
          <w:szCs w:val="24"/>
          <w:lang w:eastAsia="pl-PL"/>
        </w:rPr>
        <w:t>wraz z niezbędną infrastrukturą.</w:t>
      </w:r>
      <w:r w:rsidRPr="0043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powyższe, potencjalnie istnieje możliwość kumulowania się oddziaływań w zakresie emisji hałasu czy emisji zanieczyszczeń do powietrza, jednakże uwzględniając rodzaj i lokalizację inwestycji, brak jest przesłanek do stwierdzenia, iż będą </w:t>
      </w:r>
      <w:r w:rsidRPr="00433E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oddziaływania istotne.</w:t>
      </w:r>
    </w:p>
    <w:p w:rsidR="00FF1789" w:rsidRDefault="00433E8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nie będzie zlokalizowane na obszarach o krajobrazie mającym znaczenie historyczne, kulturowe lub archeologiczne, na obszarach, na których standardy jakości środowiska zostały przekroczone, na obszarach ochrony uzdrowiskowej, na obszarach górskich lub leśnych, na obszarach wodno-błotnych oraz innych obszarach o płytkim zaleganiu wód podziemnych, na siedliskach łęgowych i w ujściach rzek, na obszarach wybrzeży </w:t>
      </w:r>
      <w:r w:rsid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środowisku morskim, na obszarach przylegających do jezior, na obszarach zagrożonych katastrofami naturalnymi (powodzie, wstrząsy sejsmiczne, osuwiska ziemi itp.), na obszarach objętych ochroną, w tym strefach ochronnych ujęć wód i obszarach ochronny zbiorników wód śródlądowych. Przedsięwzięcie usytuowane będzie poza obszarami głównych zbiorników wód podziemnych oraz poza obszarami szczególnego zagrożenia powodzią. </w:t>
      </w:r>
    </w:p>
    <w:p w:rsidR="00800D6E" w:rsidRDefault="00433E8B" w:rsidP="00800D6E">
      <w:pPr>
        <w:pStyle w:val="Tekstpodstawowywcity"/>
        <w:spacing w:after="0"/>
        <w:ind w:left="0" w:firstLine="567"/>
        <w:jc w:val="both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>Inwestycja zlokalizowana będzie na terenie Jednolitej Części Wód Podziemnych (</w:t>
      </w:r>
      <w:proofErr w:type="spellStart"/>
      <w:r>
        <w:rPr>
          <w:rFonts w:eastAsia="Times New Roman" w:cs="Arial"/>
          <w:lang w:eastAsia="pl-PL"/>
        </w:rPr>
        <w:t>JCWPd</w:t>
      </w:r>
      <w:proofErr w:type="spellEnd"/>
      <w:r>
        <w:rPr>
          <w:rFonts w:eastAsia="Times New Roman" w:cs="Arial"/>
          <w:lang w:eastAsia="pl-PL"/>
        </w:rPr>
        <w:t xml:space="preserve">): PLGW600076, której stan ilościowy i stan chemiczny oceniono jako dobry. Osiągnięcie celów środowiskowych dla ww. </w:t>
      </w:r>
      <w:proofErr w:type="spellStart"/>
      <w:r>
        <w:rPr>
          <w:rFonts w:eastAsia="Times New Roman" w:cs="Arial"/>
          <w:lang w:eastAsia="pl-PL"/>
        </w:rPr>
        <w:t>JCWPd</w:t>
      </w:r>
      <w:proofErr w:type="spellEnd"/>
      <w:r>
        <w:rPr>
          <w:rFonts w:eastAsia="Times New Roman" w:cs="Arial"/>
          <w:lang w:eastAsia="pl-PL"/>
        </w:rPr>
        <w:t xml:space="preserve"> oceniono jako niezagrożone. Przedsięwzięcie zlokalizowane będzie na terenie zlewni Jednolitej Części Wód Powierzchniowych (JCWP): Pstrąg (kod: RW6000171748729). Jest to naturalna część wód, </w:t>
      </w:r>
      <w:r w:rsidRPr="00800D6E">
        <w:rPr>
          <w:rFonts w:eastAsia="Times New Roman"/>
          <w:lang w:eastAsia="pl-PL"/>
        </w:rPr>
        <w:t>których stan ogólny oceniono jako dobry, a osiągnięcie celów środowiskowych jako niezagrożone. Przedmiotowa JCWP jest monitorowana. Celem środowiskowym dla JCWP jest osiągnięcie dobrego stanu ekologicznego i dobrego stanu chemicznego wód.</w:t>
      </w:r>
    </w:p>
    <w:p w:rsidR="00791CE3" w:rsidRPr="00462137" w:rsidRDefault="00462137" w:rsidP="00462137">
      <w:pPr>
        <w:pStyle w:val="Tekstpodstawowywcity"/>
        <w:spacing w:after="0"/>
        <w:ind w:left="0" w:firstLine="567"/>
        <w:contextualSpacing/>
        <w:jc w:val="both"/>
        <w:rPr>
          <w:rFonts w:eastAsia="Times New Roman"/>
          <w:lang w:eastAsia="pl-PL"/>
        </w:rPr>
      </w:pPr>
      <w:r w:rsidRPr="00462137">
        <w:rPr>
          <w:rFonts w:eastAsia="Times New Roman"/>
          <w:lang w:eastAsia="pl-PL"/>
        </w:rPr>
        <w:t xml:space="preserve">Zgodnie z informacją zwartą w raporcie teren przedsięwzięcia jest użytkowany </w:t>
      </w:r>
      <w:r>
        <w:rPr>
          <w:rFonts w:eastAsia="Times New Roman"/>
          <w:lang w:eastAsia="pl-PL"/>
        </w:rPr>
        <w:br/>
      </w:r>
      <w:r w:rsidRPr="00462137">
        <w:rPr>
          <w:rFonts w:eastAsia="Times New Roman"/>
          <w:lang w:eastAsia="pl-PL"/>
        </w:rPr>
        <w:t>i utrzymywany w kulturze rolnej.</w:t>
      </w:r>
      <w:r>
        <w:rPr>
          <w:rFonts w:eastAsia="Times New Roman"/>
          <w:lang w:eastAsia="pl-PL"/>
        </w:rPr>
        <w:t xml:space="preserve"> </w:t>
      </w:r>
      <w:r w:rsidR="00800D6E" w:rsidRPr="00800D6E">
        <w:rPr>
          <w:rFonts w:eastAsia="Times New Roman"/>
          <w:lang w:eastAsia="pl-PL"/>
        </w:rPr>
        <w:t xml:space="preserve">W obszarze planowanej inwestycji dominują grunty orne. </w:t>
      </w:r>
      <w:r w:rsidR="00800D6E">
        <w:rPr>
          <w:rFonts w:eastAsia="Times New Roman"/>
          <w:lang w:eastAsia="pl-PL"/>
        </w:rPr>
        <w:t>Większa cześć działek inwestycyjnych</w:t>
      </w:r>
      <w:r w:rsidR="00800D6E" w:rsidRPr="00800D6E">
        <w:rPr>
          <w:rFonts w:eastAsia="Times New Roman"/>
          <w:lang w:eastAsia="pl-PL"/>
        </w:rPr>
        <w:t xml:space="preserve"> nie posiada urozmaiconej rzeźby i nie jest orograficznie eksponowana. Teren jest płaski, a skrajne różnice wysokości wz</w:t>
      </w:r>
      <w:r w:rsidR="00800D6E">
        <w:rPr>
          <w:rFonts w:eastAsia="Times New Roman"/>
          <w:lang w:eastAsia="pl-PL"/>
        </w:rPr>
        <w:t>ględnej sięgają ok.</w:t>
      </w:r>
      <w:r w:rsidR="00800D6E" w:rsidRPr="00800D6E">
        <w:rPr>
          <w:rFonts w:eastAsia="Times New Roman"/>
          <w:lang w:eastAsia="pl-PL"/>
        </w:rPr>
        <w:t xml:space="preserve"> 1 m. Fizjografia terenu nie predysponuje elektrowni do postaci dominanty krajobrazowej. </w:t>
      </w:r>
      <w:r w:rsidR="00800D6E">
        <w:rPr>
          <w:rFonts w:eastAsia="Times New Roman"/>
          <w:lang w:eastAsia="pl-PL"/>
        </w:rPr>
        <w:br/>
      </w:r>
      <w:r w:rsidR="00800D6E" w:rsidRPr="00800D6E">
        <w:rPr>
          <w:rFonts w:eastAsia="Times New Roman"/>
          <w:lang w:eastAsia="pl-PL"/>
        </w:rPr>
        <w:t xml:space="preserve">W sąsiedztwie znajdują się: </w:t>
      </w:r>
      <w:r w:rsidR="00800D6E" w:rsidRPr="00800D6E">
        <w:rPr>
          <w:rFonts w:eastAsia="Times New Roman"/>
          <w:spacing w:val="-4"/>
          <w:lang w:eastAsia="pl-PL"/>
        </w:rPr>
        <w:t xml:space="preserve">grunty orne i użytki zielone, tereny odłogowane ze spontanicznym zadrzewieniem, droga powiatowa, powierzchniowe i liniowe zadrzewienie śródpolne, drogi polne, stawy poeksploatacyjne oraz tereny okresowo podmokłe. </w:t>
      </w:r>
    </w:p>
    <w:p w:rsidR="00462137" w:rsidRDefault="00800D6E" w:rsidP="00462137">
      <w:pPr>
        <w:pStyle w:val="Tekstpodstawowywcity"/>
        <w:spacing w:after="0"/>
        <w:ind w:left="0" w:firstLine="567"/>
        <w:contextualSpacing/>
        <w:jc w:val="both"/>
        <w:rPr>
          <w:rFonts w:eastAsia="Times New Roman"/>
          <w:spacing w:val="-4"/>
          <w:lang w:eastAsia="pl-PL"/>
        </w:rPr>
      </w:pPr>
      <w:r w:rsidRPr="00800D6E">
        <w:rPr>
          <w:rFonts w:eastAsia="Times New Roman"/>
          <w:spacing w:val="-4"/>
          <w:lang w:eastAsia="pl-PL"/>
        </w:rPr>
        <w:t>Brak</w:t>
      </w:r>
      <w:r w:rsidR="00791CE3">
        <w:rPr>
          <w:rFonts w:eastAsia="Times New Roman"/>
          <w:spacing w:val="-4"/>
          <w:lang w:eastAsia="pl-PL"/>
        </w:rPr>
        <w:t xml:space="preserve"> jest </w:t>
      </w:r>
      <w:r w:rsidRPr="00800D6E">
        <w:rPr>
          <w:rFonts w:eastAsia="Times New Roman"/>
          <w:spacing w:val="-4"/>
          <w:lang w:eastAsia="pl-PL"/>
        </w:rPr>
        <w:t xml:space="preserve">dużych kurtyn krajobrazowych w postaci lasu bądź dużego zadrzewienia. Perspektywy widokowe ograniczają pojedyncze drzewa i krzewy liniowych </w:t>
      </w:r>
      <w:proofErr w:type="spellStart"/>
      <w:r w:rsidRPr="00800D6E">
        <w:rPr>
          <w:rFonts w:eastAsia="Times New Roman"/>
          <w:spacing w:val="-4"/>
          <w:lang w:eastAsia="pl-PL"/>
        </w:rPr>
        <w:t>zadrzewień</w:t>
      </w:r>
      <w:proofErr w:type="spellEnd"/>
      <w:r w:rsidRPr="00800D6E">
        <w:rPr>
          <w:rFonts w:eastAsia="Times New Roman"/>
          <w:spacing w:val="-4"/>
          <w:lang w:eastAsia="pl-PL"/>
        </w:rPr>
        <w:t xml:space="preserve"> przydrożnych. Najdłuższe perspektywy sięgają ponad 1 km. Potencjaln</w:t>
      </w:r>
      <w:r w:rsidR="00791CE3">
        <w:rPr>
          <w:rFonts w:eastAsia="Times New Roman"/>
          <w:spacing w:val="-4"/>
          <w:lang w:eastAsia="pl-PL"/>
        </w:rPr>
        <w:t>ą</w:t>
      </w:r>
      <w:r w:rsidRPr="00800D6E">
        <w:rPr>
          <w:rFonts w:eastAsia="Times New Roman"/>
          <w:spacing w:val="-4"/>
          <w:lang w:eastAsia="pl-PL"/>
        </w:rPr>
        <w:t xml:space="preserve"> linię widokową na teren inwestycji stanowi publiczna droga powiatowa pomiędzy Tuplicami i Łazami, a punkty widokowe mogą znajdować s</w:t>
      </w:r>
      <w:r w:rsidR="00791CE3">
        <w:rPr>
          <w:rFonts w:eastAsia="Times New Roman"/>
          <w:spacing w:val="-4"/>
          <w:lang w:eastAsia="pl-PL"/>
        </w:rPr>
        <w:t>ię w pobliskich Tuplicach, ok.</w:t>
      </w:r>
      <w:r w:rsidRPr="00800D6E">
        <w:rPr>
          <w:rFonts w:eastAsia="Times New Roman"/>
          <w:spacing w:val="-4"/>
          <w:lang w:eastAsia="pl-PL"/>
        </w:rPr>
        <w:t xml:space="preserve"> 0,5 km od terenu inwestycji.  </w:t>
      </w:r>
    </w:p>
    <w:p w:rsidR="00462137" w:rsidRDefault="00800D6E" w:rsidP="00462137">
      <w:pPr>
        <w:pStyle w:val="Tekstpodstawowywcity"/>
        <w:spacing w:after="0"/>
        <w:ind w:left="0" w:firstLine="567"/>
        <w:contextualSpacing/>
        <w:jc w:val="both"/>
        <w:rPr>
          <w:rFonts w:eastAsia="Times New Roman"/>
          <w:lang w:eastAsia="pl-PL"/>
        </w:rPr>
      </w:pPr>
      <w:r w:rsidRPr="00800D6E">
        <w:rPr>
          <w:rFonts w:eastAsia="Times New Roman"/>
          <w:lang w:eastAsia="pl-PL"/>
        </w:rPr>
        <w:t>Niemal wszystkie elem</w:t>
      </w:r>
      <w:r w:rsidR="00462137">
        <w:rPr>
          <w:rFonts w:eastAsia="Times New Roman"/>
          <w:lang w:eastAsia="pl-PL"/>
        </w:rPr>
        <w:t>enty infrastruktury technicznej</w:t>
      </w:r>
      <w:r w:rsidRPr="00800D6E">
        <w:rPr>
          <w:rFonts w:eastAsia="Times New Roman"/>
          <w:lang w:eastAsia="pl-PL"/>
        </w:rPr>
        <w:t xml:space="preserve"> planowanej elektrowni fotowo</w:t>
      </w:r>
      <w:r w:rsidR="00462137">
        <w:rPr>
          <w:rFonts w:eastAsia="Times New Roman"/>
          <w:lang w:eastAsia="pl-PL"/>
        </w:rPr>
        <w:t>ltaicznej</w:t>
      </w:r>
      <w:r w:rsidRPr="00800D6E">
        <w:rPr>
          <w:rFonts w:eastAsia="Times New Roman"/>
          <w:lang w:eastAsia="pl-PL"/>
        </w:rPr>
        <w:t xml:space="preserve"> </w:t>
      </w:r>
      <w:r w:rsidR="00462137">
        <w:rPr>
          <w:rFonts w:eastAsia="Times New Roman"/>
          <w:lang w:eastAsia="pl-PL"/>
        </w:rPr>
        <w:t xml:space="preserve">będą </w:t>
      </w:r>
      <w:r w:rsidRPr="00800D6E">
        <w:rPr>
          <w:rFonts w:eastAsia="Times New Roman"/>
          <w:lang w:eastAsia="pl-PL"/>
        </w:rPr>
        <w:t>prefabrykowane i znormalizowane. Będą one przywiezione na miejsce inwestycji i zainstalowane za pomocą maszyn, powszechnie stosowanych i znormalizowanych środowiskowo, oraz dzięki pracy ludzkiej. Bezpośredn</w:t>
      </w:r>
      <w:r w:rsidR="00462137">
        <w:rPr>
          <w:rFonts w:eastAsia="Times New Roman"/>
          <w:lang w:eastAsia="pl-PL"/>
        </w:rPr>
        <w:t xml:space="preserve">i dojazd do miejsca inwestycji </w:t>
      </w:r>
      <w:r w:rsidRPr="00800D6E">
        <w:rPr>
          <w:rFonts w:eastAsia="Times New Roman"/>
          <w:lang w:eastAsia="pl-PL"/>
        </w:rPr>
        <w:t>odbywał</w:t>
      </w:r>
      <w:r w:rsidR="00462137">
        <w:rPr>
          <w:rFonts w:eastAsia="Times New Roman"/>
          <w:lang w:eastAsia="pl-PL"/>
        </w:rPr>
        <w:t xml:space="preserve"> się będzie</w:t>
      </w:r>
      <w:r w:rsidRPr="00800D6E">
        <w:rPr>
          <w:rFonts w:eastAsia="Times New Roman"/>
          <w:lang w:eastAsia="pl-PL"/>
        </w:rPr>
        <w:t xml:space="preserve"> po istniejących drogach. Nie jest planowana wyc</w:t>
      </w:r>
      <w:r w:rsidR="00462137">
        <w:rPr>
          <w:rFonts w:eastAsia="Times New Roman"/>
          <w:lang w:eastAsia="pl-PL"/>
        </w:rPr>
        <w:t xml:space="preserve">inka drzew i krzewów. </w:t>
      </w:r>
      <w:r w:rsidR="00462137">
        <w:rPr>
          <w:rFonts w:eastAsia="Times New Roman"/>
          <w:lang w:eastAsia="pl-PL"/>
        </w:rPr>
        <w:br/>
      </w:r>
      <w:r w:rsidRPr="00800D6E">
        <w:rPr>
          <w:rFonts w:eastAsia="Times New Roman"/>
          <w:lang w:eastAsia="pl-PL"/>
        </w:rPr>
        <w:t xml:space="preserve">Większość prac budowalnych, nie ma charakteru tradycyjnie pojmowanej budowy, </w:t>
      </w:r>
      <w:r w:rsidR="00462137">
        <w:rPr>
          <w:rFonts w:eastAsia="Times New Roman"/>
          <w:lang w:eastAsia="pl-PL"/>
        </w:rPr>
        <w:br/>
      </w:r>
      <w:r w:rsidRPr="00800D6E">
        <w:rPr>
          <w:rFonts w:eastAsia="Times New Roman"/>
          <w:lang w:eastAsia="pl-PL"/>
        </w:rPr>
        <w:t>ale  montażu</w:t>
      </w:r>
      <w:r w:rsidR="00462137">
        <w:rPr>
          <w:rFonts w:eastAsia="Times New Roman"/>
          <w:lang w:eastAsia="pl-PL"/>
        </w:rPr>
        <w:t>,</w:t>
      </w:r>
      <w:r w:rsidRPr="00800D6E">
        <w:rPr>
          <w:rFonts w:eastAsia="Times New Roman"/>
          <w:lang w:eastAsia="pl-PL"/>
        </w:rPr>
        <w:t xml:space="preserve"> np. systemu konstrukcji podparć dla paneli, modułów fotowoltaicznych, linii przesyłowych i przyłącza, stacji transformatorowych, ogrodzenia dla całego terenu farmy, systemu monitoringu. Żaden z elementów elektrowni czy etapu jej budowy nie wymaga odwodnienia lub przerzutu wód.  </w:t>
      </w:r>
    </w:p>
    <w:p w:rsidR="00800D6E" w:rsidRPr="00800D6E" w:rsidRDefault="00800D6E" w:rsidP="00462137">
      <w:pPr>
        <w:pStyle w:val="Tekstpodstawowywcity"/>
        <w:spacing w:after="0"/>
        <w:ind w:left="0" w:firstLine="567"/>
        <w:contextualSpacing/>
        <w:jc w:val="both"/>
        <w:rPr>
          <w:rFonts w:eastAsia="Times New Roman"/>
          <w:lang w:eastAsia="pl-PL"/>
        </w:rPr>
      </w:pPr>
      <w:r w:rsidRPr="00800D6E">
        <w:rPr>
          <w:rFonts w:eastAsia="Times New Roman"/>
          <w:lang w:eastAsia="pl-PL"/>
        </w:rPr>
        <w:t xml:space="preserve">Planowane przedsięwzięcie ma być </w:t>
      </w:r>
      <w:r w:rsidR="00462137">
        <w:rPr>
          <w:rFonts w:eastAsia="Times New Roman"/>
          <w:lang w:eastAsia="pl-PL"/>
        </w:rPr>
        <w:t xml:space="preserve">zlokalizowane </w:t>
      </w:r>
      <w:r w:rsidRPr="00800D6E">
        <w:rPr>
          <w:rFonts w:eastAsia="Times New Roman"/>
          <w:lang w:eastAsia="pl-PL"/>
        </w:rPr>
        <w:t xml:space="preserve">w gruntach działek, które są położone: 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- w </w:t>
      </w:r>
      <w:r w:rsidR="00462137" w:rsidRPr="0046213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granicach </w:t>
      </w:r>
      <w:r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Parku Krajobrazowym Łuk </w:t>
      </w:r>
      <w:proofErr w:type="spellStart"/>
      <w:r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Mużakowa</w:t>
      </w:r>
      <w:proofErr w:type="spellEnd"/>
      <w:r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;</w:t>
      </w:r>
    </w:p>
    <w:p w:rsidR="00800D6E" w:rsidRPr="00800D6E" w:rsidRDefault="00462137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- w odległości ok.</w:t>
      </w:r>
      <w:r w:rsidR="00800D6E"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0,2 km od obszaru Natura 2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000 Uroczyska Borów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Zasieckich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800D6E"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PLH080060;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- w projektowanym, lądowym korytarzu ekologicznym o nazwie „Ziemia Lubuska </w:t>
      </w:r>
      <w:r w:rsidR="0046213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–</w:t>
      </w:r>
      <w:r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środek”, którego granice są obecnie aktualizowane, weryfikowane i ustalane, w oparciu o dane, których </w:t>
      </w:r>
      <w:r w:rsidRPr="00800D6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dysponentem jest Generalny Dyrektor Ochrony Środowiska;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poza znanymi stanowiskami przedmiotów ochrony obszarów Natura 2000, nad którymi sprawuje nadzór Regionalny Dyrektor Ochrony Środowisk w Gorzowie Wielkopolskim;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poza znanymi i uznanymi miejscami ochrony strefowej gatunków chronionych, wyznaczonymi przez Regionalnego Dyrektora Ochrony Środowisk w Gorzowie Wielkopolskim;</w:t>
      </w:r>
    </w:p>
    <w:p w:rsidR="00800D6E" w:rsidRPr="00800D6E" w:rsidRDefault="00462137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gruntach rolnych 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utrzymywanych w kulturze uprawy;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poza wrażliwymi na antropopresję lasami starodrzewu,  obszarami przyjeziornymi i dolinami rzecznymi;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poza stanowiskami przeżyciowymi zwierząt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np. zimowiska nietoperzy;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poza terenem dolin rzecznych i rynien jeziornych, które stanowią w województwie lubuskim miejsca stwierdzeń cyklicznego gromadzenia się ptaków na długich, sezonowych przelotach;  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poza śródpolnymi enklawami bioróżnorodności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zadrzewieniem,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czyżniami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szpalerami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alejami drzew;  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pomiędzy antropogenicznymi, poeksploatacyjnymi zbiornikami wodnymi i w sąsiedztwie okresowo podmokłych użytków zielonych, które mogą stanowić stanowiska przeżyciowe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obszary migracyjne płazów (Staw Tuplicki 2, Tartaczny Staw, Staw Gajówka);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gruntach rolnych, utrzymywanych w kulturze uprawy, w których różnorodność biotyczna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funkcjonowanie ekosystemów miejsca i sąsiedztwa przedsięwzięcia zostały ograniczone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zbiorowisk siedlisk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segetalnych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walory i zasoby przyrodnicze oraz relacje ekosystemowe pozostają pod istotnym wpływem ludzkiej działalności;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sąsiedztwie gruntów rolnych, oferujących podobne warunki siedliskowe agrocenoz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pratocenoz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miejscu przedsięwzięcia, gdzie praktykowana jest uprawa rolna o krótkich cyklach uprawy;</w:t>
      </w:r>
    </w:p>
    <w:p w:rsidR="00462137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w sąsiedztwie publicznej drogi powiatowej odcinka pomiędzy Tuplicami i Łazami.</w:t>
      </w:r>
    </w:p>
    <w:p w:rsidR="00800D6E" w:rsidRPr="00800D6E" w:rsidRDefault="00800D6E" w:rsidP="00462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niezbędnymi i podstawowymi zagadnieniami poddanymi ocenie było: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ustalenie zgodności przedsięwzięcia z reżimem ochrony i celami ochrony Parku Krajobrazowego Łuk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 budowy i eksploatacji na zasoby, twory i składniki przyrody miejsca przedsięwzięcia i jego sąsiedztwa;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ustalenie oddziaływań, skali i skutków oddziaływań przedsięwzięcia na zidentyfikowane elementy biotyczne i abiotyczne w terenie przedsięwzięcia i w obszarze jego oddziaływań, obejmujące bezpośrednie, pośrednie, wtórne, skumulowane, krótko-, średnio-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długoterminowe, stałe i chwilowe oddziaływania, dotyczące fazy przygotowania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eksploatacji, eksploatacji przedsięwzięcia, wreszcie jego likwidacji i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renaturyzacji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analiza skumulowanego efektu oddziaływań na zasoby, twory i składniki przyrody, związanego z obecnym zagospodarowaniem tych elementów w sąsiedztwie inwestycji;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analiza skumulowanego efektu oddziaływań, na zasoby, twory i składniki przyrody, związanego z innymi przedsięwzięciami w miejscu i w regionie;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prognoza skutków oddziaływania przedsięwzięcia dla podmiotów gospodarujących zasobami przyrodniczymi w obszarze oddziaływania przedsięwzięcia;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analiza potencjału i przyczyn możliwych konfliktów społecznych, związanych ze stanem zasobów, tworów i składników przyrody i ich zmianą w wyniku budowy i eksploatacji przedsięwzięcia. </w:t>
      </w:r>
    </w:p>
    <w:p w:rsidR="00462137" w:rsidRDefault="00800D6E" w:rsidP="004621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 raport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na środowisko, będący skutkiem oceny oddziaływania na środowisko, dostarcza charakterystyki obecnego zagospodarowania działek przedsięwzięcia, jego miejsca i otoczenia oraz oddziaływań dla okresu budowy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eksploatacji.</w:t>
      </w:r>
    </w:p>
    <w:p w:rsidR="00800D6E" w:rsidRPr="00800D6E" w:rsidRDefault="00800D6E" w:rsidP="00DF1C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Krajobrazowy Łuk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ustanowiony na podstawie ustawy o ochronie przyrody z dnia 16 kwietnia 2004 r. Ochronie podlegają tu wartości przyrodnicze, historyczne i kulturowe oraz walory krajobrazowe. Ustawowym celem ochrony jest zachowanie </w:t>
      </w:r>
      <w:r w:rsidR="0046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popularyzacja wymienionych wartości w warunkach zrównoważonego rozwoju. Ocenie poddano relacje przedsięwzięcia z celem zachowania wartości przyrodniczych oraz walorów krajobrazowych. Szczególne cele ochrony Parku Krajobrazowego Łuk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skupiają się na zachowaniu: mozaiki krajobrazowej, form geologicznych łuku moreny czołowej i doliny rzeki Nysy Łużyckiej i Skrody, lasów, zabytkowego założenia parkowego „Parku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Mużakowskiego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starego budownictwa o cechach regionalnych oraz antropogenicznego krajobrazu powstałego wskutek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eksploatacji węgla brunatnego.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i eksploatacja elektrowni fotowoltaicznej będzie podjęta poza wymienionymi układami, stanowiskami, formami oraz biotopami tego parku krajobrazowego.  Lokalizacja przedsięwzięcia, w działkach nr </w:t>
      </w:r>
      <w:r w:rsidR="00DF1C38" w:rsidRP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188/1, 188/2, 189, 190/3, 193 obręb Tuplice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wyżej scharakteryzowano, wskazuje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brak bezpośredniego wpływu na cele szczególne tej formy ochrony przyrody. Celom tym służy reżim ochronny parku, zawarty w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chwale Sejmiku Województwa Lubuskiego z dnia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maja 2017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Woj.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Lubuskiego z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F1C38" w:rsidRPr="00DF1C38">
        <w:t xml:space="preserve"> </w:t>
      </w:r>
      <w:r w:rsidR="00DF1C38" w:rsidRP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126</w:t>
      </w:r>
      <w:r w:rsidRP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, dlatego analizowano relację przedsięwzięcia z zakresem obowiązujących tu zakazów. Przedsięwzięcie nie wymaga i nie spowoduje: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umyślnego zabijania dziko występujących zwierząt, niszczenia ich nor, legowisk, innych schronień i miejsc rozrodu oraz tarlisk i złożonej ikry;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likwidowania, zasypywania i przekształcania zbiorników wodnych, starorzeczy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obszarów wodno-błotnych.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Przedsięwzięcie nie dotyczy: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pozyskiwania do celów gospodarczych skał, w tym torfu oraz skamieniałości, w tym kopalnych szczątków roślin i zwierząt, a także minerałów i bursztynu;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wykonywania prac ziemnych trwale zniekształcających rzeźbę terenu;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dokonywania zmian stosunków wodnych;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chowu i hodowli zwierząt metodą bezściółkową;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organizowania rajdów motorowych i samochodowych;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używania łodzi motorowych i innego sprzętu motorowego na otwartych zbiornikach wodnych.</w:t>
      </w:r>
    </w:p>
    <w:p w:rsidR="00800D6E" w:rsidRPr="00800D6E" w:rsidRDefault="00800D6E" w:rsidP="00FE21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 raport i ocena oddziaływania na środowisko nie wykazały by przedsięwzięcie było niezgodne z powyższymi zakazami. Szczególnym zakresem przeprowadzonej procedury oceny oddziaływania na środowisko jest, w przypadku parku krajobrazowego i przedsięwzięć mogących potencjalnie oddziaływać na środowisko, relacja 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skala wpływu przedsięwzięcia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tylko na przyrodę, ale także na krajobraz. </w:t>
      </w:r>
    </w:p>
    <w:p w:rsidR="00800D6E" w:rsidRPr="00800D6E" w:rsidRDefault="00800D6E" w:rsidP="00FE21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przedsięwzięcia nie jest lokalną, tym bardziej regionalną, ostoją flory i fauny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niepowtarzalnym stanowiskiem stałej ich obecności i przebywania, poza którym funkcjonowanie pojedynczych osobników lub ich zgrupowań nie jest możliwe, a której przekształcenie lub zmiana funkcji wpłynie negatywnie na jakikolwiek gatunek oraz układ ekosystemowy w stopniu decydującym o obniżeniu walorów krajobrazowych i przyrodniczych Parku Krajobrazowego Łuk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Biotopy nie są tu zróżnicowane, a złożoność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spektrum nisz siedliskowych nie jest tu efektem zaawansowanego oraz naturalnego procesu sukcesji. Wprost przeciwnie, są to układy regeneracyjne i adaptacyjne agrocenoz, pozostające pod wpływem  zmiennego w czasie i zakresie oddziaływania człowieka.</w:t>
      </w:r>
    </w:p>
    <w:p w:rsidR="00800D6E" w:rsidRPr="00800D6E" w:rsidRDefault="00800D6E" w:rsidP="00DF1C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i eksploatacja elektrowni fotowoltaicznej w miejscu upraw rolnych wymaga wprowadzenia w krajobraz rolniczy zabudowy o charakterze przemysłowym, co częściowo zmieni uwarunkowania jego funkcjonowania, ale bez wpływu na budując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ten typ krajobrazu ekosystemy,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np. pola, łąki, miedze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szpalery, </w:t>
      </w:r>
      <w:proofErr w:type="spellStart"/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czyżnie</w:t>
      </w:r>
      <w:proofErr w:type="spellEnd"/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, rowy melio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itp. Skala zmiany pejzażu i relacji widokowych, to jest obecnych warunków wizualno-estetycznych,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dotyczyła dużych perspektyw widokowych terenów otwartych, pozbawionych dużych kurtyn lasu bądź zadrzewienia. Przestrzenie widokowe  z linii widokowej drogi Tuplice i Łazy oraz z punktów widokowych wsi Tuplice sporadycznie ograniczają rzadkie zadrzewiania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zgrupowania krzewów. Teren inwestycji nie jest orograficznie eksponowany, co jest najbardziej istotnym atutem zmniejszania dysonansu obecnie homogen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pejzażu wsi tej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części p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arku, który jest utrwalony w przestrzeni mentalnej mieszkańców, a w którym ma się pojawić instalacja o charakterze przemysłowym. Trwale zmieni się widok dla mieszkańców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północnej częśc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i wsi Tuplice, a odległość ok.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km od planowanej inwestycji będzie zmniejszać dysonans zmiany. </w:t>
      </w:r>
    </w:p>
    <w:p w:rsidR="00800D6E" w:rsidRPr="00800D6E" w:rsidRDefault="00800D6E" w:rsidP="00FE2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przedsięwzięcia nie wyznaczono, z perspektywy celu parku krajobrazowego, strefy ochrony krajobrazu lub obszaru wyróżniającego się lokalną formą architektoniczną, która byłyby istotna dla zachowania walorów krajobrazowych Parku Krajobrazowego Łuk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Teren przedsięwzięcia nie posiada dominującej ekspozycji widokowej.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zmiany pejzażu będzie lokalnie znacząca. W mozaice krajobrazu pojawi się infrastruktura dotąd nie kojarzona z krajobrazem wsi. Pod tym względem będzie to istotna zmiana obecnego krajobrazu antropogenicz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nego, na niewielkiej, płaskiej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powierzchni.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powstanie ponadlokalna dominanta krajobrazowa. Doświadczenie istniejących obiektów  wskazuje, że w odległości 50-100 m przestają stanowić element przysłonowy tła krajobrazu. Absorbują uwagę nie z powodu skali, ale obiektu nowego i obcego.</w:t>
      </w:r>
    </w:p>
    <w:p w:rsidR="00800D6E" w:rsidRPr="00800D6E" w:rsidRDefault="00800D6E" w:rsidP="00DF1C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działek przedsięwzięcia, w którym różnorodność biotyczna i zależności ekosystemowe ograniczone zostały do zbiorowisk upraw rolnych oraz zależą od intensywności i sezonowości zabiegów, nie stanowi unikatu, z perspektywy przyrody parku, którego zasoby, twory i składniki winny być trwale i szczególnie chronione. Teren przedsięwzięcia nie stanowi elementu specyficznego rodzaju układów ekologicznych, których przekształcenie, z przyczyn charakteru i położenia przedsięwzięcia, mogłoby być potraktowane jako mające niekorzystny wpływ na przyrodę, a w szczególności na cele parku krajobrazowego. W przedłożonej dokumentacji dotyczącej opisu zasobów przyrody dla terenu inwestycyjnego obszar ten scharakteryzowano jako teren o niewielkiej wartości przyrodniczej, w którym nie stwierdzono obecności gatunków chronionych roślin i zwierząt oraz siedlisk gatunków chronionych,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jest konsekwencją obecnego wykorzystania terenu. Nie stwierdzono tu miejsc lęgowych ptaków rzadkich, nie stwierdzono także ostoi i miejsc bytowania innych dzikich zwierząt.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wnioskuje się, iż zamierzone przedsięwzięcie nie będzie miało znaczącego wpływu na zasoby przyrodnicze miejsca przedsięwzięcia oraz najbliższego sąsiedztwa. Realizacja przedmiotowej inwestycji z perspektywy ochrony przyrody będzie miała zasięg lokalny, a w odniesieniu do przyrody Parku Krajobrazowego Łuk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przesłanek mogących potwierdzić negatywny wpływ inwestycji na przyrodę. </w:t>
      </w:r>
    </w:p>
    <w:p w:rsidR="00800D6E" w:rsidRPr="00800D6E" w:rsidRDefault="00800D6E" w:rsidP="00DF1C3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wartości przyrodniczych, historycznych, kulturowych i walorów krajobrazowych, jako jeden z celów parku, jest zadaniem służby parku krajobrazowego. I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nwestycja zlokalizowana w działkach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188/1, 188/2, 189, 190/3 i 193 obrębu  Tuplice, 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miała wpływu na podejmowane przez tę służbę działania. </w:t>
      </w:r>
    </w:p>
    <w:p w:rsidR="00800D6E" w:rsidRPr="00800D6E" w:rsidRDefault="00800D6E" w:rsidP="001449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Podsumowując, przeprowadzona procedura oceny oddziaływania na środowisko wykazała brak niekorzystnego wpływu na przyrodę i krajobraz parku krajobrazowego,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co wypełnia przesłankę art. 17 ust. 3 ustawy z dnia 16 kwietnia 20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>04 r. o ochronie przyrody (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DF1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916). Z perspektywy ochrony przyrody Parku Krajobrazowego Łuk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jest zachowania, zrównoważonego użytkowania oraz odnawiania jego zasobów, tworów i składników przyrody nie ma potrzeby formułowania indywidualnych uwarunkowań dla realizacji oraz eksploatacji inwestycji. Nie wykazano niezgodności z celem formy ochrony przyrody oraz reżimem ochrony, wytyczającym zasady gospodarowania. W trakcie budowy 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eksploatacji żaden z zasobów, 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tworów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składników przyrody miejsca przedsięwzięcia 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sąsiedztwa nie zostanie bezpowrotnie utracony i nadal możliwe będz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t>ie ich zachowanie, zrównoważone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użytkowanie oraz odnawianie. </w:t>
      </w:r>
    </w:p>
    <w:p w:rsidR="00800D6E" w:rsidRPr="00800D6E" w:rsidRDefault="0014496C" w:rsidP="001449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inwestycji, znajdujące się w bliskości wsi Tuplice, położone jest poza obszarami Natura 2000, z których najbliższy to Uroczyska Borów </w:t>
      </w:r>
      <w:proofErr w:type="spellStart"/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Zasieckich</w:t>
      </w:r>
      <w:proofErr w:type="spellEnd"/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PLH080060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odległości ok. </w:t>
      </w:r>
      <w:r w:rsidRP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0,2 km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wymienionego </w:t>
      </w:r>
      <w:r w:rsidRP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800D6E" w:rsidRP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ochrony ogniskują głównie wokół siedlisk leśnych, wodnych i wodno-błotnych. Siedliska przyrodnicze, z listy przedmiotów ochrony,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przede wszystkim różnej postaci ekosystemy wód, torfowisk i lasów. Z nimi są związane gatunki zwierząt, z listy przedmiotów ochrony, tego obszaru Natura 2000.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Planowane przedsięwzięcie nie wymaga, ani nie spowoduje w tym obszarze: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fragmentacji siedlisk chronionych oraz nie zmieni ich powierzchni;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kluczowych procesów i związków kształtujących strukturę obszaru;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przebudowy zespołów i zgrupowań gatunków;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zakłócenia relacji ekosystemowych;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intensyfikacji zagrożeń dla utrzymania właściwego stanu ochrony gatunków i ich siedlisk;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trwałej bariery migracji;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zagrożenia dla utrzymania właściwego stanu ochrony siedlisk i gatunków.</w:t>
      </w:r>
    </w:p>
    <w:p w:rsidR="00800D6E" w:rsidRPr="00800D6E" w:rsidRDefault="00800D6E" w:rsidP="001449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przedsięwzięcia nie są powiązaną ekosystemowo, w sposób kluczowy, 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przedmiotami ochrony obszaru Natura 2000 Uroczyska Borów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Zasieckich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PLH080060. Zmiana zagospodarowania, polegająca na zaniechaniu tradycyjnej uprawy, a wprowadzająca zespół instalacji fotowoltaicznych oraz całoroczne utrzymywanie niskiej roślinności zielnej, okresowo koszonej, nie zmieni obecnych relacji z chronionym siedliskami przyrodniczymi 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chronionym gatunkami. W terenie przedsięwzięcia, na obecnym etapie sprawy, nie wykazano obecności siedlisk bądź sposobu użytkowania, które współtworzyłyby taki rodzaj układów ekologicznych, z chronionymi siedliskami i gatunkami obszarów Natura 2000, których zmiana i przekształcenie mogłoby przyczynić się do zmiany kluczowych procesów, struktur, powiązań i relacji ekosystemowych tego obszaru ochrony przyrody.</w:t>
      </w:r>
    </w:p>
    <w:p w:rsidR="00800D6E" w:rsidRPr="00800D6E" w:rsidRDefault="00800D6E" w:rsidP="001449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Projektowany, lądowy korytarz ekologiczny o nazwie „Ziemia Lubuska 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środek”, obejmuje przede wszystkim rozległe powierzchnie leśne tej części województwa, a działki inwestyc</w:t>
      </w:r>
      <w:r w:rsidR="0014496C">
        <w:rPr>
          <w:rFonts w:ascii="Times New Roman" w:eastAsia="Times New Roman" w:hAnsi="Times New Roman" w:cs="Times New Roman"/>
          <w:sz w:val="24"/>
          <w:szCs w:val="24"/>
          <w:lang w:eastAsia="pl-PL"/>
        </w:rPr>
        <w:t>yjne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poza nimi, w bezleśnej enklawie gruntów rolnych wsi Tuplice. 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inwestycji położony jest z dala od lasu. Nie ma tu liniowych bądź płatowych biotopów migracyjnych sprzyjających migracji dużych zwierząt. Budowa, a przede wszystkim eksploatacja elektrowni, z racji ogrodzenia, będą stanowiły trwałą przeszkodę migracji 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dla dużych zwierząt. Nie spowoduje ona nieprzekraczalnej bariery migracji uniemożliwiającej migrację w przestrzeni i w różnym czasie, a skutkującej izolacją populacji jakiegokolwiek gatunku. Ogrodzenie elektrowni skumuluje oddziaływanie przeszkodowe z odcinkiem istniejącej drogi powiatowej dla tych zwierząt i części zwierząt średnich. Dla tego rodzaju oddziaływania nie ma możliwości minimalizacji, ale nie będzie ono miało skutku w postaci bariery migracji.</w:t>
      </w:r>
    </w:p>
    <w:p w:rsidR="00800D6E" w:rsidRPr="00800D6E" w:rsidRDefault="009711B4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działek inwestycyjnych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pomiędzy antropogenicznymi, poeksploatacyjnymi zbiornikami wodnymi, takimi jak: Staw Tuplicki 2, Tartaczny Staw, 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 Gajówka. W sąsiedztwie pojawiają się, na użytkach zielonych, okresowe </w:t>
      </w:r>
      <w:proofErr w:type="spellStart"/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podmokliska</w:t>
      </w:r>
      <w:proofErr w:type="spellEnd"/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Biotopy te mogą stanowić obszary bytności płazów oraz innych zwierząt małych i średnich. Miejsce przedsięwzięcia, w okolicznościach takiego otoczenia, może być terenem migracji tych zwierząt, któremu dotychczasowe użytkowanie nie sprzyjało. W okresie eksploatacji elektrowni, planuje się w tym terenie utrzymywanie użytku zielonego o postaci łąki trwałej.  Będzie on kolonizowany i zasiedlany przez te zwierzęta. Mając to na uwadze,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rozwiązanie sprzyjające tym dwó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m procesom i minimalizujące oddziaływanie przeszkodowe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omiędzy śródpolnym i śródleśnym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wyspom bioróżnorodności, które współtworzą wymienione zbiorniki wodne i tereny okresowo podmokłe.  Regionalny Dyrektor Ochrony Środowiska w Gorzowie Wielkopolskim uznał tę propozycję za uzasadnioną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sformułował warunek dla realizacji inwestycji o treści: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- ogrodzenie elektrowni fotowoltaicznej montować bez podmurówki z zachowaniem wolnej przestrzeni, o wysokości minimum piętnastu centymetrów, nad gruntem.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to jest uzasadnione stwierdzeniem obecności biotopów zwierząt małych i średnich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w sąsiedztwie ter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nu inwestycji. Taki montaż jest wystarczający dla małych ssaków, w tym lisa i zająca, a zastosowanie płotów ażurowych, np. z siatki o dużych, zwykle sprzyja pozostałym, mniejszym zwierzętom.  Specyficzne użytkowanie powierzchni pod panelami utrwali siedliska dla gadów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jaszczurki zwinki lub padalca, których występowanie ograniczały dotąd zabiegi uprawy gleby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np. orka, bronowanie, włókowanie. Zabudowa utrudni, a możliwe, że całkowicie ograniczy przestrzeń spoczynku dla dużych, migrujących ptaków, które 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długodystansowych wędrówkach gromadzą się w grupy. Dla ptaków małych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szpaków nie będzie to uciążliwość, a koszona lub niewykoszona ruń roślin zielnych będzie wzbogacać obszar żerowania i dietę.  </w:t>
      </w:r>
    </w:p>
    <w:p w:rsidR="00FE2123" w:rsidRDefault="00800D6E" w:rsidP="00FE21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Obecnie, miejsce przedsięwzięcia nie jest lokalną, a tym bardziej regionalną, ostoją przyrody lub niepowtarzalnym miejscem stałego przebywania zwierząt, roślin lub grzybów, poza którym funkcjonowanie pojedynczych osobników lub ich zgrupowań nie jest możliwe,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której przekształcenie lub zmiana funkcji wpłynie negatywnie na cały gatunek i jego stan. Wartość przyrodnicza terenu jest typowa dla użytkowanej agrocenozy i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pratocenozy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 różnorodność biotyczna i zależności ekosystemowe ograniczone zostały do zbiorowisk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segatalnych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 rolnych, a te są zależne od intensywności i sezonowości tych upraw. Przedsięwzięcie nie będzie miało znacząco negatywnego wpływu na przyrodę, w szczególności ochronę przyrody, to jest na zachowanie, zrównoważone użytkowanie oraz odnawianie  zasobów,  tworów  i składników przyrody.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D6E" w:rsidRPr="00800D6E" w:rsidRDefault="00800D6E" w:rsidP="00FE2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Przyroda i powiązania ekosystemowe miejsca przedsięwzięcia zostały tu ograniczone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siedlisk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segetalnych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trwałej agrocenozy i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pratocenozy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charakter jest uzależniony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potrzeb, rytmu i kultury uprawy. Taka postać przyrody nie wyróżnia się wśród otoczenia pól i łąk, a z perspektywy ochrony przyrody jest powszechna, nie stanowi unikatu i fenomenu, którego zasoby, twory lub składniki winny być szczególnie chronione. Nie stwierdzono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teren przedsięwzięcia stanowił element specyficznego rodzaju układów ekologicznych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krajobrazu, tu rozumianego jako jednostka o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ponadekosytemowej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przyrody, których przekształcenie, z przyczyn charakteru i położenia przedsięwzięcia, mogłoby być potraktowane jako mające niekorzystny wpływ na przyrodę.</w:t>
      </w:r>
    </w:p>
    <w:p w:rsidR="00800D6E" w:rsidRPr="00800D6E" w:rsidRDefault="00800D6E" w:rsidP="009711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Biotop pól i łąk, w tym wypadku w gruntach klas niższych niż III, nie jest tu silnie zróżnicowany, a złożoność i spektrum nisz siedliskowych nie jest tu efektem zaawansowanego i naturalnego procesu sukcesji. Są to układy regeneracyjne i adaptacyjne, pozostające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wpływem zmiennego w czasie i w zakresie oddziaływania człowieka. Stąd też możliwa obecność gatunków powszechnych, bardziej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eurytopowych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rzadkich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stenobiontów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których chwilowe zniszczenie części takiego siedliska nie będzie stanowić utraty jedynych nisz życiowych. </w:t>
      </w:r>
    </w:p>
    <w:p w:rsidR="00800D6E" w:rsidRPr="00800D6E" w:rsidRDefault="00800D6E" w:rsidP="009711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sygnalizowano obecności ostoi gatunków chronionych, co jest konsekwencją charakteru wykorzystania terenu. Nie zidentyfikowano wątpliwości w zakresie oddziaływań 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gatunki chronione, a tym bardziej potrzeby formułowania uwarunkowania z zakresu ochrony gatunkowej zwierząt, roślin i grzybów, które wykraczałoby poza rozwiązania prawne ochrony gatunkowej. Nie stwierdzono wrażliwych ostoi i miejsc bytowania innych dzikich zwierząt wymagających szczególnych uwarunkowań, niesformułowanych w prawie ochrony przyrody. Nie jest to ponadlokalna ostoja bioróżnorodności, której bogactwo wyróżnia ją z terenów sąsiednich. 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Rozpatrywano domniemane oddziaływanie na ptaki z tytułu tzw. zanieczyszczeń wizualnych</w:t>
      </w:r>
      <w:r w:rsidR="009711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olśnienia oraz efektu fałszywego lustra wody. W chwili obecnej zakłada się, że takie oddziaływanie przypuszczalnie istnieje, jednak potwierdzający materiał dowodowy jest znikomy, dlatego też skutki oddziaływań, np. kalectwo i śmiertelność ptaków, osłabienie osobnicze i populacji pozostają w sferze przypuszczeń. Mimo obecnych instalacji solarnych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lubuskim nie zgłoszono dotąd szkody w środowisku bądź potencjalnej szkody w środowisku z zakresu oddziaływania na gatunki chronione zwierząt z tytułu domniemanego zjawiska fałszywego lustra wody i omyłkowego lądowania ptaków, skutkującego kontuzjami lub śmiertelnością. Standardowe obecnie, a motywowane sprawnością pochłaniania promieniowania słonecznego, są powłoki antyrefleksyjne wbudowane w ogniwa solarne, pokryte teksturowanym, antyre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fleksyjnym szkłem.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Problematykę zanieczyszczeń wizualnych można także odnieść do kilkudziesięcioletniego doświadczenia wielkopowierzchniowych szklarni ogrodniczych, a ostatnio także upraw rolniczych realizowanych pod osłoną szkła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lub folii.</w:t>
      </w:r>
      <w:r w:rsidRP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względzie doświadczenie skutków domniemanego oddziaływania, w postaci kalectwa i śmiertelność wędrujących ptaków środowisk wodnych i wodno-błotnych należy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sfery domniemań, a nie udokumentowanych, przez instytucje ochrony przyrody, faktów. Dodatkowym aspektem zmniejszającym domniemany efekt olśnienia oraz efektu fałszywego lustra wody są przerwy pomiędzy szeregami paneli, szerokości od 3 m do 5 m, których wielkopowierzchniowe szklarnie ogrodnicze nie posiadają, a więc teoretycznie to one powinny wabić ptaki fałszywym lustrem wody. Doświadczenia negatywnych oddziaływań na ptaki,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domniemanego efektu fałszywego lustra wody, nie dostarczają elektrownie fotowoltaiczne zainstalowane na wodzie. 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rozwiązanie przesyłania pozyskanej energii elektrycznej, w postaci podziemnej instalacji przewodów elektrycznych w miejscu inwestycji, nie przyczynią się do pomnożenia naziemnej struktury elektroenergetycznej, będącej jedną z przyczyn antropogenicznej  śmiertelności ptaków.</w:t>
      </w:r>
    </w:p>
    <w:p w:rsidR="00FE2123" w:rsidRDefault="00800D6E" w:rsidP="00FE21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Niekiedy uwarunkowania, z zakresu oddziaływania na ptaki, ustalane w postępowaniach ocenowych dla instalacji paneli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fotowoltaiczn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wynikają z domniemania o utracie siedlisk dla ptaków lub pielęgnacji terenu pod panelami. W obydwu przypadkach odniesieniem jest obecny potencjał siedliskowy agrocenozy dla ptaków, który jest całkowicie uzależniony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zmienności upraw i cykliczności zabiegów rolnych oraz od potrzeb, rytmu i kultury uprawy. Ta losowość skutkuje przygodnym i zmiennym składem ornitofauny, a sama produkcja rolna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jej zabiegi nie są uwarunkowane tym składem. W odniesieniu do tego, elektrownie fotowoltaiczne stabilizują, na planowanych kilkadziesiąt lat eksploatacji, typ użytkowania okrywy roślinnej podłoża, a sam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zabieg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pielęgnacji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runi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tożsamy tradycyjnej uprawie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koszenie lub spasanie. </w:t>
      </w:r>
    </w:p>
    <w:p w:rsidR="00800D6E" w:rsidRPr="00800D6E" w:rsidRDefault="00800D6E" w:rsidP="00FE2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farm fotowoltaicznych, w sytuacjach przekształcania jedynych bądź ostatnich przestrzeni otwartych, analizuje się efekt ograniczający dostępność do znajdujących się 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powierzchni gruntu łowisk, żerowisk i lęgowisk. W przypadku działek inwestycji i ich  sąsiedztwa nie ma takiego problemu ponieważ w bliskości znajdują się grunty krajobrazów rolnych i tradycyjnego ich użytkowania. 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Ogrodzenie farm fotowoltaicznych i zabieg koszenia mogą sprawić efekt wabiący dla ptaków, w tym niektórych szponiastych, polujących na drobne zwierzęta np. na gryzonie. 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Podobne zjawisko jest obserwowane w o wiele mniej atrakcyjnym sąsiedztwie terenów zieleni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opłotowania dróg szybkiego ruchu.    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Logistyka przedsięwzięcia, w trakcie budowy i eksploatacji, odbywała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będzie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sieci istniejącej infrastruktury komunikacyjnej i przesyłowej, nie wymaga zatem budowy, która mogłaby mieć wpływ na stan przyrody i jej ochrony. Intensyfikacja ruchu i przesyłania energii elektrycznej będzie miała ten wpływ znikomy. </w:t>
      </w:r>
    </w:p>
    <w:p w:rsidR="009E380A" w:rsidRDefault="009E380A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lanowane przedsięwzięcie wpisuje się w realizację zobowiązania, przyjętego przez rząd Polski, zwiększenia udziału tzw. energii odnawialnej w produkcji i konsumpcji energii elektrycznej. Celem tej polityki jest zmniejszenie emisji dwutlenku węgla, wskazanego jako  istotny czynnik zmian klimatu. W związku z tym analiza oddziaływania przedsięwzięcia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klimat musi osiągać, bez względu na faktyczne oddziaływanie, wynik wpływu pozytywnego. Podążając logiką wywodząca się z tego celu oraz przyjętego sposobu realizacji, a wywodząc z szeregu domniemań o negatywnym wpływie zmian klimatycznych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0D6E"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poszczególne grupy i gatunki świata przyrody ożywionej, należy również przyjąć, że pozytywny wpływ na klimat będzie skutkował pozytywnym wpływem na reprezentację tego świata. Żadne z oddziaływań przedsięwzięcia na klimat nie będzie miało skali wymagającej działań minimalizujących z tytułu wpływu na przyrodę i ochronę przyrody.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elektrowni fotowoltaicznej na mikroklimat, a w zakresie oddziaływania i skutków oddziaływania na przyrodę jest odnoszony do stanu sprzed inwestycji, w tym wypadku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tradycyjnego użytkowania rolnego. Dotychczasowe doświadczenie funkcjonujących elektrowni fotowoltaicznych w klimacie umiarkowanym, gdzie okrywę glebową stanowi niska roślinność zielna wskazuje, że głównym czynnikiem wpływającym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mikroklimat biotopu jest cień i zmienny w roku zasięg operacji cienia. Strefa zacienienia jest nowym czynnikiem mikroklimatycznym w odniesieniu do poprzedzającego użytkowania,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która wpływa na gatunki kolonizujące i zadomawiające się w obszarze elektrowni, które dotąd były tu nieobecne lub obecne sporadycznie. Nie odnotowano z tego tytułu oddziaływań negatywnych, ale przestrzenną zmienność siedliskową i gatunkową wzbogacającą bioróżnorodność. Czynnikiem trwałej zmiany w biotopie jest także trwała okrywa roślinna, której w gruntach ornych nie było. Jej obecność wpływa pozytywnie na warunki wilgotnościowe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ścioły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glebowej, gleby i akumulacji węgla w glebie, co ma znaczenie mikroklimatyczne korzystne dla żywych organizmów.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z oddziaływań przedsięwzięcia na wody nie będzie miało skali powo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>dującej wpływ na jednolitą części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wód o negatywnych skutkach dla stanu przyrody i ochrony przyrody. Nie planuje się odwodnienia i przerzutu wód, co mogło by się wiązać ze zmianami zasobów wód i stosunków wodnych.</w:t>
      </w:r>
    </w:p>
    <w:p w:rsid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technologie instalacji stelaża nośnego paneli solarnych obejmują </w:t>
      </w:r>
      <w:proofErr w:type="spellStart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kotwienie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naziemne bloczki betonowe lub podziemne. W  przypadku tych ostatnich, prefabrykowanych lub wykonanych na miejscu, wykop jest płytki i nie wymaga długotrwałego, uwarunkowanego technologią, przetrzymywania. Wykop pod podziemne przewody elektryczne jest wąskoszczelinowy i również nie wymaga długotrwałego przetrzymywania, co mogłoby stanowić pułapkę dla małych zwierząt. Większe i głębsze wykopy są wymagane pod fundamenty stacji transformatorów, które dodatkowo pełnią role uszczelnionych mis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wypadki awarii urządzenia. Również i one nie wymagają długotrwałego przetrzymywania. </w:t>
      </w:r>
    </w:p>
    <w:p w:rsidR="003D0414" w:rsidRPr="003D0414" w:rsidRDefault="003D0414" w:rsidP="003D04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414">
        <w:rPr>
          <w:rFonts w:ascii="Times New Roman" w:eastAsia="Times New Roman" w:hAnsi="Times New Roman" w:cs="Times New Roman"/>
          <w:sz w:val="24"/>
          <w:szCs w:val="24"/>
          <w:lang w:eastAsia="pl-PL"/>
        </w:rPr>
        <w:t>W sąsiedztwie inwestycji obecne są stawy poeksploatacyjne oraz tereny okresowo podmokłe, będące lub mogące być stanowiskami rozrodczymi płazów i trasami wędrówek tych zwierząt, dla których prace budowlane</w:t>
      </w:r>
      <w:r w:rsidR="00FE21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0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wykopy i ruch pojazdów, mogą być potencjalnym zagrożeniem. W sprzyjających okolicznościach środowiska aktywność płazów może się rozprzestrzenić na działki inwestycyjne, co może stanowić utrudnienie jej realizacji, </w:t>
      </w:r>
      <w:r w:rsidRPr="003D0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 tej przyczyny Regionalny Dyrektor Ochrony Środowiska w Gorzowie Wielkopolskim </w:t>
      </w:r>
      <w:r w:rsidRPr="003D0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pkt 2.1. niniejszego postanowienia określił stosowne działanie osłonowe.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wykazano by budowa i eksploatacja elektrowni fotowoltaicznej mogła spowodować zmianę użytkowanych zasobów, tworów i składników przyrody sąsiedztwa przedsięwzięcia, która skutkowałaby upośledzeniem gospodarujących tu podmiotów lub mogła wzbudzić konflikty społeczne, związane ze zmianą stanu zasobów, tworów i składników przyrody tego sąsiedztwa. 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Oddziaływania okresu budowy będą krótkoterminowe i punktowe. Obecność ludzi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maszyn oraz związane z tym oddziaływania nie będą się różniły od obecnego tu tła oddziaływań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prac na roli i użytkowania drogi Tuplice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Łazy. Można domniemać, że nawet skumulowane nie będą zjawiskiem nowym dla dzikich zwierząt, powodującym płoszenie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o skali zagrożenia dla osobników w miejscu przedsięwzięcia, a tym bardziej dla wszystkich reprezentantów gatunku. Oddziaływania okresu eksploatacji będą długoterminowe,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nieznaczące dla ochrony przyrody. 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 logistyki przedsięwzięcia, budowy i późniejszej eksploatacji będą oddziaływania o skali, która nie spowoduje naruszenia równowagi przyrodniczej. Nie będzie to też wymiar, który wymagałby kompensacji przyrodniczej.</w:t>
      </w:r>
    </w:p>
    <w:p w:rsidR="00800D6E" w:rsidRPr="00800D6E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z zakresu ochrony środowiska, w tym stosowanie znormalizowanych procedur, urządzeń i surowców, spełnią kryteria ochrony przyrody w miejscu inwestycji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zasięgu jego oddziaływania, w tym antropogenicznie przekształconym terenie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uproszczonych układach ekologicznych. Agrocenoza działek inwestycji nie jest częścią ekosystemu o zaawansowanych postaciach sukcesyjnych, co z perspektywy ochrony przyrody i szczególnych okoliczności wymagałaby jej zachowania. Nie jest to postać zasobu, której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odtworzyć lub która byłaby unikatowa. Zmiana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 nie spowoduje upośledzenia zrównoważonego użytkowania i odnawiania zasobów, tw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orów i składników przyrody. </w:t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Z perspektywy ochrony przyrody, która polega na zachowaniu, zrównoważonym użytkowaniu oraz odnawianiu zasobów nie ma potrzeby: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kategorycznego zachowania obecnej tu biocenozy, jej utrzymywania w trakcie budowy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i eksploatacji elektrowni;</w:t>
      </w:r>
    </w:p>
    <w:p w:rsidR="00800D6E" w:rsidRPr="00800D6E" w:rsidRDefault="00800D6E" w:rsidP="004621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kategorycznego zachowania obecnych tu tworów przyrody nieożywionej, form i struktur, </w:t>
      </w:r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odnowienia po budowie i eksploatacji.</w:t>
      </w:r>
    </w:p>
    <w:p w:rsidR="00FF1789" w:rsidRDefault="00800D6E" w:rsidP="009E38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art. 81 ust. 1 i ust. 2  ustawy o </w:t>
      </w:r>
      <w:proofErr w:type="spellStart"/>
      <w:r w:rsidR="009E380A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800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stwierdzono, w zakresie ochrony przyrody, braku możliwości realizacji przedsięwzięcia w wariancie proponowanym przez wnioskodawcę lub znacząco negatywnego oddziaływania na obszar Natura 2000.  </w:t>
      </w:r>
    </w:p>
    <w:p w:rsidR="00FF1789" w:rsidRDefault="00433E8B" w:rsidP="00462137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nie zalicza się do zakładów stwarzających zagrożenie wystąpienia poważnej awarii przemysłowej w rozumieniu art. 248 ustawy z dnia 27 kwietnia 2001 r. Prawo ochrony środowiska (Dz. U. z 2021 r., poz. 1973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nie jest również wymienione wśród obiektów, dla których można utworzyć obszar ograniczonego użytkowania, o którym mowa w art. 135 ust. 1 wymienionej ustawy. Ryzyko wystąpienia katastrofy naturalnej czy budowlanej, przy zaplanowanej technologii i zakresie prac, ocenia się jako bardzo niskie. Ze względu na lokalizację (ok. 6,3 km od granicy państwa) oraz zakres przedsięwzięcia nie zachodzi również ryzyko transgranicznego oddziaływania na środowisko.</w:t>
      </w:r>
    </w:p>
    <w:p w:rsidR="00FF1789" w:rsidRDefault="00433E8B" w:rsidP="004621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 zastosowaniu zakładanych rozwiązań technicznych i organizacyjnych, omówionych w przedłożonym raporcie oraz przy s</w:t>
      </w:r>
      <w:r w:rsidR="00DF7A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pełnieniu warunków określonych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niniejszym postanowieniu, nie pogorszy się stan środowiska.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Dlatego w pkt 4 niniejszego postanowienia przedstawiono stanowisko, że nie jest konieczne przeprowadzenie ponownej oceny oddziaływania przedsięwzięcia na środowisko oraz postępowanie w sprawie transgranicznego oddziaływania tego przedsięwzięcia na środowisko, w ramach postępowania w sprawie wydawania decyzji,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której mowa w art. 72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oraz w oparciu o cytowane na wstępie przepisy postanowiono jak w sentencji.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F1789" w:rsidRDefault="00433E8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:rsidR="00FF1789" w:rsidRDefault="00FF17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77 ust. 7 ustawy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niniejsze postanowienie nie przysługuje stronie zażalenie. Natomiast zgodnie z art. 142 k.p.a. postanowienie, na które nie przysługuje zażalenie strona może zaskarżyć w odwołaniu od decyzji.</w:t>
      </w:r>
    </w:p>
    <w:p w:rsidR="00FF1789" w:rsidRDefault="00433E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postanowieniu podlega ujawnieniu w publicznie dostępnym wykazie danych.</w:t>
      </w:r>
    </w:p>
    <w:p w:rsidR="00FF1789" w:rsidRDefault="00FF178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1789" w:rsidRDefault="00FF1789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1789" w:rsidRDefault="00433E8B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29840" cy="317500"/>
            <wp:effectExtent l="0" t="0" r="0" b="0"/>
            <wp:docPr id="1" name="Obraz 3" descr="P:\02.Sprawy organizacyjno-administracyjne\11.podpisy do ePUAP\Pieczatka_podpisano_elektronicz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P:\02.Sprawy organizacyjno-administracyjne\11.podpisy do ePUAP\Pieczatka_podpisano_elektroniczn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2"/>
          <w:szCs w:val="12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2"/>
          <w:szCs w:val="12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FF1789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</w:pPr>
    </w:p>
    <w:p w:rsidR="00FF1789" w:rsidRDefault="00433E8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u w:val="single"/>
          <w:lang w:eastAsia="pl-PL"/>
        </w:rPr>
        <w:t>Otrzymują:</w:t>
      </w:r>
    </w:p>
    <w:p w:rsidR="00FF1789" w:rsidRDefault="00433E8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1. Wójt Gminy Tuplice –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;</w:t>
      </w:r>
    </w:p>
    <w:p w:rsidR="00FF1789" w:rsidRDefault="00433E8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2. A/a.</w:t>
      </w:r>
    </w:p>
    <w:sectPr w:rsidR="00FF1789">
      <w:footerReference w:type="default" r:id="rId11"/>
      <w:pgSz w:w="11906" w:h="16838"/>
      <w:pgMar w:top="1135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F4" w:rsidRDefault="00433E8B">
      <w:pPr>
        <w:spacing w:after="0" w:line="240" w:lineRule="auto"/>
      </w:pPr>
      <w:r>
        <w:separator/>
      </w:r>
    </w:p>
  </w:endnote>
  <w:endnote w:type="continuationSeparator" w:id="0">
    <w:p w:rsidR="002321F4" w:rsidRDefault="0043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948814"/>
      <w:docPartObj>
        <w:docPartGallery w:val="Page Numbers (Bottom of Page)"/>
        <w:docPartUnique/>
      </w:docPartObj>
    </w:sdtPr>
    <w:sdtEndPr/>
    <w:sdtContent>
      <w:p w:rsidR="00FF1789" w:rsidRDefault="00433E8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C5BA2">
          <w:rPr>
            <w:noProof/>
          </w:rPr>
          <w:t>2</w:t>
        </w:r>
        <w:r>
          <w:fldChar w:fldCharType="end"/>
        </w:r>
      </w:p>
    </w:sdtContent>
  </w:sdt>
  <w:p w:rsidR="00FF1789" w:rsidRDefault="00FF1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F4" w:rsidRDefault="00433E8B">
      <w:pPr>
        <w:spacing w:after="0" w:line="240" w:lineRule="auto"/>
      </w:pPr>
      <w:r>
        <w:separator/>
      </w:r>
    </w:p>
  </w:footnote>
  <w:footnote w:type="continuationSeparator" w:id="0">
    <w:p w:rsidR="002321F4" w:rsidRDefault="0043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685"/>
    <w:multiLevelType w:val="multilevel"/>
    <w:tmpl w:val="F0F0DBC4"/>
    <w:lvl w:ilvl="0">
      <w:start w:val="3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1" w15:restartNumberingAfterBreak="0">
    <w:nsid w:val="34640C77"/>
    <w:multiLevelType w:val="multilevel"/>
    <w:tmpl w:val="3970ED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BF787E"/>
    <w:multiLevelType w:val="multilevel"/>
    <w:tmpl w:val="7D165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BB26FA"/>
    <w:multiLevelType w:val="multilevel"/>
    <w:tmpl w:val="A0BA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DC6CCB"/>
    <w:multiLevelType w:val="multilevel"/>
    <w:tmpl w:val="50147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89"/>
    <w:rsid w:val="000E2B23"/>
    <w:rsid w:val="0014496C"/>
    <w:rsid w:val="00192992"/>
    <w:rsid w:val="002321F4"/>
    <w:rsid w:val="0029584C"/>
    <w:rsid w:val="00323425"/>
    <w:rsid w:val="00354D24"/>
    <w:rsid w:val="003D0414"/>
    <w:rsid w:val="00433E8B"/>
    <w:rsid w:val="00462137"/>
    <w:rsid w:val="004C315A"/>
    <w:rsid w:val="005C5BA2"/>
    <w:rsid w:val="00791CE3"/>
    <w:rsid w:val="00800D6E"/>
    <w:rsid w:val="008170A9"/>
    <w:rsid w:val="00943A68"/>
    <w:rsid w:val="009711B4"/>
    <w:rsid w:val="009E380A"/>
    <w:rsid w:val="00B636A7"/>
    <w:rsid w:val="00C734A6"/>
    <w:rsid w:val="00D31CD6"/>
    <w:rsid w:val="00DF1C38"/>
    <w:rsid w:val="00DF7A3A"/>
    <w:rsid w:val="00E70629"/>
    <w:rsid w:val="00FE2123"/>
    <w:rsid w:val="00FE77F0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C2C53"/>
  <w15:docId w15:val="{58D3094E-6B6E-427E-B2B0-518B8A27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9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83E92"/>
  </w:style>
  <w:style w:type="character" w:styleId="Numerstrony">
    <w:name w:val="page number"/>
    <w:basedOn w:val="Domylnaczcionkaakapitu"/>
    <w:qFormat/>
    <w:rsid w:val="00C83E92"/>
  </w:style>
  <w:style w:type="character" w:customStyle="1" w:styleId="NagwekZnak">
    <w:name w:val="Nagłówek Znak"/>
    <w:basedOn w:val="Domylnaczcionkaakapitu"/>
    <w:link w:val="Nagwek"/>
    <w:uiPriority w:val="99"/>
    <w:qFormat/>
    <w:rsid w:val="00C83E9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08E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F5E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432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432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322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62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890750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Aria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Times New Roman" w:hAnsi="Times New Roman"/>
      <w:i w:val="0"/>
      <w:color w:val="auto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rFonts w:eastAsia="Calibri"/>
    </w:rPr>
  </w:style>
  <w:style w:type="character" w:customStyle="1" w:styleId="ListLabel82">
    <w:name w:val="ListLabel 82"/>
    <w:qFormat/>
    <w:rPr>
      <w:rFonts w:ascii="Times New Roman" w:eastAsia="Calibri" w:hAnsi="Times New Roman"/>
      <w:sz w:val="24"/>
    </w:rPr>
  </w:style>
  <w:style w:type="character" w:customStyle="1" w:styleId="ListLabel83">
    <w:name w:val="ListLabel 83"/>
    <w:qFormat/>
    <w:rPr>
      <w:rFonts w:eastAsia="Calibri"/>
    </w:rPr>
  </w:style>
  <w:style w:type="character" w:customStyle="1" w:styleId="ListLabel84">
    <w:name w:val="ListLabel 84"/>
    <w:qFormat/>
    <w:rPr>
      <w:rFonts w:eastAsia="Calibri"/>
    </w:rPr>
  </w:style>
  <w:style w:type="character" w:customStyle="1" w:styleId="ListLabel85">
    <w:name w:val="ListLabel 85"/>
    <w:qFormat/>
    <w:rPr>
      <w:rFonts w:eastAsia="Calibri"/>
    </w:rPr>
  </w:style>
  <w:style w:type="character" w:customStyle="1" w:styleId="ListLabel86">
    <w:name w:val="ListLabel 86"/>
    <w:qFormat/>
    <w:rPr>
      <w:rFonts w:eastAsia="Calibri"/>
    </w:rPr>
  </w:style>
  <w:style w:type="character" w:customStyle="1" w:styleId="ListLabel87">
    <w:name w:val="ListLabel 87"/>
    <w:qFormat/>
    <w:rPr>
      <w:rFonts w:eastAsia="Calibri"/>
    </w:rPr>
  </w:style>
  <w:style w:type="character" w:customStyle="1" w:styleId="ListLabel88">
    <w:name w:val="ListLabel 88"/>
    <w:qFormat/>
    <w:rPr>
      <w:rFonts w:eastAsia="Calibri"/>
    </w:rPr>
  </w:style>
  <w:style w:type="character" w:customStyle="1" w:styleId="ListLabel89">
    <w:name w:val="ListLabel 89"/>
    <w:qFormat/>
    <w:rPr>
      <w:rFonts w:eastAsia="Calibri"/>
    </w:rPr>
  </w:style>
  <w:style w:type="character" w:customStyle="1" w:styleId="ListLabel90">
    <w:name w:val="ListLabel 90"/>
    <w:qFormat/>
    <w:rPr>
      <w:b w:val="0"/>
      <w:i w:val="0"/>
    </w:rPr>
  </w:style>
  <w:style w:type="character" w:customStyle="1" w:styleId="ListLabel91">
    <w:name w:val="ListLabel 91"/>
    <w:qFormat/>
    <w:rPr>
      <w:b w:val="0"/>
      <w:i w:val="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i w:val="0"/>
      <w:color w:val="auto"/>
      <w:sz w:val="24"/>
    </w:rPr>
  </w:style>
  <w:style w:type="character" w:customStyle="1" w:styleId="ListLabel96">
    <w:name w:val="ListLabel 96"/>
    <w:qFormat/>
    <w:rPr>
      <w:rFonts w:eastAsia="Calibri"/>
    </w:rPr>
  </w:style>
  <w:style w:type="character" w:customStyle="1" w:styleId="ListLabel97">
    <w:name w:val="ListLabel 97"/>
    <w:qFormat/>
    <w:rPr>
      <w:rFonts w:ascii="Times New Roman" w:eastAsia="Calibri" w:hAnsi="Times New Roman"/>
      <w:sz w:val="24"/>
    </w:rPr>
  </w:style>
  <w:style w:type="character" w:customStyle="1" w:styleId="ListLabel98">
    <w:name w:val="ListLabel 98"/>
    <w:qFormat/>
    <w:rPr>
      <w:rFonts w:eastAsia="Calibri"/>
    </w:rPr>
  </w:style>
  <w:style w:type="character" w:customStyle="1" w:styleId="ListLabel99">
    <w:name w:val="ListLabel 99"/>
    <w:qFormat/>
    <w:rPr>
      <w:rFonts w:eastAsia="Calibri"/>
    </w:rPr>
  </w:style>
  <w:style w:type="character" w:customStyle="1" w:styleId="ListLabel100">
    <w:name w:val="ListLabel 100"/>
    <w:qFormat/>
    <w:rPr>
      <w:rFonts w:eastAsia="Calibri"/>
    </w:rPr>
  </w:style>
  <w:style w:type="character" w:customStyle="1" w:styleId="ListLabel101">
    <w:name w:val="ListLabel 101"/>
    <w:qFormat/>
    <w:rPr>
      <w:rFonts w:eastAsia="Calibri"/>
    </w:rPr>
  </w:style>
  <w:style w:type="character" w:customStyle="1" w:styleId="ListLabel102">
    <w:name w:val="ListLabel 102"/>
    <w:qFormat/>
    <w:rPr>
      <w:rFonts w:eastAsia="Calibri"/>
    </w:rPr>
  </w:style>
  <w:style w:type="character" w:customStyle="1" w:styleId="ListLabel103">
    <w:name w:val="ListLabel 103"/>
    <w:qFormat/>
    <w:rPr>
      <w:rFonts w:eastAsia="Calibri"/>
    </w:rPr>
  </w:style>
  <w:style w:type="character" w:customStyle="1" w:styleId="ListLabel104">
    <w:name w:val="ListLabel 104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3E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83E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83E92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08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432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322C"/>
    <w:rPr>
      <w:b/>
      <w:bCs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F2A6-C84A-472D-B8BA-7B1BAA0E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13</Pages>
  <Words>6977</Words>
  <Characters>41864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dc:description/>
  <cp:lastModifiedBy>Damian Matusiak</cp:lastModifiedBy>
  <cp:revision>593</cp:revision>
  <cp:lastPrinted>2021-11-08T10:52:00Z</cp:lastPrinted>
  <dcterms:created xsi:type="dcterms:W3CDTF">2021-10-12T10:37:00Z</dcterms:created>
  <dcterms:modified xsi:type="dcterms:W3CDTF">2022-08-02T06:23:00Z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