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026" w:rsidRDefault="00D154C4">
      <w:pPr>
        <w:pStyle w:val="Textbody"/>
        <w:spacing w:line="276" w:lineRule="auto"/>
        <w:ind w:left="5664" w:firstLine="708"/>
        <w:jc w:val="right"/>
        <w:rPr>
          <w:rFonts w:cs="Arial"/>
          <w:sz w:val="22"/>
          <w:szCs w:val="22"/>
        </w:rPr>
      </w:pPr>
      <w:r>
        <w:rPr>
          <w:rFonts w:cs="Arial"/>
          <w:sz w:val="22"/>
          <w:szCs w:val="22"/>
        </w:rPr>
        <w:t xml:space="preserve">Tuplice, dnia </w:t>
      </w:r>
      <w:r w:rsidR="00551B75">
        <w:rPr>
          <w:rFonts w:cs="Arial"/>
          <w:sz w:val="22"/>
          <w:szCs w:val="22"/>
        </w:rPr>
        <w:t xml:space="preserve">3 sierpnia </w:t>
      </w:r>
      <w:r>
        <w:rPr>
          <w:rFonts w:cs="Arial"/>
          <w:sz w:val="22"/>
          <w:szCs w:val="22"/>
        </w:rPr>
        <w:t>202</w:t>
      </w:r>
      <w:r w:rsidR="00551B75">
        <w:rPr>
          <w:rFonts w:cs="Arial"/>
          <w:sz w:val="22"/>
          <w:szCs w:val="22"/>
        </w:rPr>
        <w:t>2</w:t>
      </w:r>
      <w:r>
        <w:rPr>
          <w:rFonts w:cs="Arial"/>
          <w:sz w:val="22"/>
          <w:szCs w:val="22"/>
        </w:rPr>
        <w:t xml:space="preserve"> r.</w:t>
      </w:r>
    </w:p>
    <w:p w:rsidR="00ED7026" w:rsidRDefault="00D154C4">
      <w:pPr>
        <w:pStyle w:val="Textbody"/>
        <w:spacing w:line="276" w:lineRule="auto"/>
        <w:rPr>
          <w:rFonts w:cs="Arial"/>
          <w:sz w:val="22"/>
          <w:szCs w:val="22"/>
        </w:rPr>
      </w:pPr>
      <w:r>
        <w:rPr>
          <w:rFonts w:cs="Arial"/>
          <w:sz w:val="22"/>
          <w:szCs w:val="22"/>
        </w:rPr>
        <w:t>znak sprawy: OSII.6220.</w:t>
      </w:r>
      <w:r w:rsidR="003E1A54">
        <w:rPr>
          <w:rFonts w:cs="Arial"/>
          <w:sz w:val="22"/>
          <w:szCs w:val="22"/>
        </w:rPr>
        <w:t>2</w:t>
      </w:r>
      <w:r>
        <w:rPr>
          <w:rFonts w:cs="Arial"/>
          <w:sz w:val="22"/>
          <w:szCs w:val="22"/>
        </w:rPr>
        <w:t>.202</w:t>
      </w:r>
      <w:r w:rsidR="003E1A54">
        <w:rPr>
          <w:rFonts w:cs="Arial"/>
          <w:sz w:val="22"/>
          <w:szCs w:val="22"/>
        </w:rPr>
        <w:t>1</w:t>
      </w:r>
      <w:bookmarkStart w:id="0" w:name="_GoBack"/>
      <w:bookmarkEnd w:id="0"/>
      <w:r>
        <w:rPr>
          <w:rFonts w:cs="Arial"/>
          <w:sz w:val="22"/>
          <w:szCs w:val="22"/>
        </w:rPr>
        <w:t>.KK</w:t>
      </w:r>
    </w:p>
    <w:p w:rsidR="00ED7026" w:rsidRDefault="00ED7026">
      <w:pPr>
        <w:pStyle w:val="Nagwek1"/>
        <w:spacing w:before="0" w:after="200"/>
        <w:jc w:val="center"/>
        <w:rPr>
          <w:rFonts w:ascii="Times New Roman" w:hAnsi="Times New Roman" w:cs="Arial"/>
          <w:color w:val="00000A"/>
          <w:sz w:val="22"/>
          <w:szCs w:val="22"/>
        </w:rPr>
      </w:pPr>
    </w:p>
    <w:p w:rsidR="00ED7026" w:rsidRDefault="00D154C4">
      <w:pPr>
        <w:pStyle w:val="Nagwek1"/>
        <w:spacing w:before="0" w:after="200"/>
        <w:jc w:val="center"/>
        <w:rPr>
          <w:rFonts w:ascii="Times New Roman" w:hAnsi="Times New Roman" w:cs="Arial"/>
          <w:color w:val="00000A"/>
          <w:sz w:val="22"/>
          <w:szCs w:val="22"/>
        </w:rPr>
      </w:pPr>
      <w:r>
        <w:rPr>
          <w:rFonts w:ascii="Times New Roman" w:hAnsi="Times New Roman" w:cs="Arial"/>
          <w:color w:val="00000A"/>
          <w:sz w:val="22"/>
          <w:szCs w:val="22"/>
        </w:rPr>
        <w:t>DECYZJA Nr 2/202</w:t>
      </w:r>
      <w:r w:rsidR="00551B75">
        <w:rPr>
          <w:rFonts w:ascii="Times New Roman" w:hAnsi="Times New Roman" w:cs="Arial"/>
          <w:color w:val="00000A"/>
          <w:sz w:val="22"/>
          <w:szCs w:val="22"/>
        </w:rPr>
        <w:t>2</w:t>
      </w:r>
    </w:p>
    <w:p w:rsidR="00ED7026" w:rsidRDefault="00ED7026">
      <w:pPr>
        <w:pStyle w:val="Standard"/>
        <w:spacing w:after="0"/>
        <w:rPr>
          <w:rFonts w:ascii="Times New Roman" w:hAnsi="Times New Roman" w:cs="Arial"/>
        </w:rPr>
      </w:pPr>
    </w:p>
    <w:p w:rsidR="00ED7026" w:rsidRDefault="00D154C4">
      <w:pPr>
        <w:pStyle w:val="dtz"/>
        <w:tabs>
          <w:tab w:val="left" w:pos="567"/>
        </w:tabs>
        <w:spacing w:before="0" w:after="0" w:line="276" w:lineRule="auto"/>
        <w:ind w:firstLine="708"/>
        <w:jc w:val="both"/>
      </w:pPr>
      <w:r>
        <w:rPr>
          <w:rFonts w:cs="Arial"/>
        </w:rPr>
        <w:t xml:space="preserve">Na podstawie art. 104 i 108 </w:t>
      </w:r>
      <w:r>
        <w:rPr>
          <w:rFonts w:cs="Arial"/>
        </w:rPr>
        <w:t>§ 1</w:t>
      </w:r>
      <w:r>
        <w:rPr>
          <w:rFonts w:cs="Arial"/>
        </w:rPr>
        <w:t xml:space="preserve"> ustawy z dnia 14 czerwca 1960 r. Kodeks postępowania administracyjnego (</w:t>
      </w:r>
      <w:proofErr w:type="spellStart"/>
      <w:r>
        <w:rPr>
          <w:rFonts w:cs="Arial"/>
        </w:rPr>
        <w:t>t.j</w:t>
      </w:r>
      <w:proofErr w:type="spellEnd"/>
      <w:r>
        <w:rPr>
          <w:rFonts w:cs="Arial"/>
        </w:rPr>
        <w:t>. Dz. U. z 2021 r., poz. 735</w:t>
      </w:r>
      <w:r w:rsidR="00551B75">
        <w:rPr>
          <w:rFonts w:cs="Arial"/>
        </w:rPr>
        <w:t xml:space="preserve"> ze zm.</w:t>
      </w:r>
      <w:r>
        <w:rPr>
          <w:rFonts w:cs="Arial"/>
        </w:rPr>
        <w:t>), art. 71 ust. 2 i pkt 2, art. 75 ust. 1 pkt 4, art. 84 ustawy z dnia 3 października 2008 r. o udostępnianiu informacji o środowisku i jego ochronie, u</w:t>
      </w:r>
      <w:r>
        <w:rPr>
          <w:rFonts w:cs="Arial"/>
        </w:rPr>
        <w:t xml:space="preserve">dziale społeczeństwa w ochronie środowiska oraz o ocenach oddziaływania na środowisko </w:t>
      </w:r>
      <w:r w:rsidR="00551B75">
        <w:rPr>
          <w:rFonts w:cs="Arial"/>
        </w:rPr>
        <w:br/>
      </w:r>
      <w:r>
        <w:rPr>
          <w:rFonts w:cs="Arial"/>
        </w:rPr>
        <w:t>(</w:t>
      </w:r>
      <w:proofErr w:type="spellStart"/>
      <w:r>
        <w:rPr>
          <w:rFonts w:cs="Arial"/>
        </w:rPr>
        <w:t>t.j</w:t>
      </w:r>
      <w:proofErr w:type="spellEnd"/>
      <w:r>
        <w:rPr>
          <w:rFonts w:cs="Arial"/>
        </w:rPr>
        <w:t>. Dz. U. z 202</w:t>
      </w:r>
      <w:r w:rsidR="00551B75">
        <w:rPr>
          <w:rFonts w:cs="Arial"/>
        </w:rPr>
        <w:t>2</w:t>
      </w:r>
      <w:r>
        <w:rPr>
          <w:rFonts w:cs="Arial"/>
        </w:rPr>
        <w:t xml:space="preserve"> r., poz. </w:t>
      </w:r>
      <w:r w:rsidR="00551B75">
        <w:rPr>
          <w:rFonts w:cs="Arial"/>
        </w:rPr>
        <w:t>1029 ze zm.</w:t>
      </w:r>
      <w:r>
        <w:rPr>
          <w:rFonts w:cs="Arial"/>
        </w:rPr>
        <w:t xml:space="preserve">) oraz § 3 ust. 1 pkt 54 lit. a rozporządzenia Rady Ministrów </w:t>
      </w:r>
      <w:r w:rsidR="00551B75">
        <w:rPr>
          <w:rFonts w:cs="Arial"/>
        </w:rPr>
        <w:br/>
      </w:r>
      <w:r>
        <w:rPr>
          <w:rFonts w:cs="Arial"/>
        </w:rPr>
        <w:t>z dnia 10 września 2019 r. w sprawie przedsięwzięć mogących znacząco oddział</w:t>
      </w:r>
      <w:r>
        <w:rPr>
          <w:rFonts w:cs="Arial"/>
        </w:rPr>
        <w:t>ywać na środowisko (</w:t>
      </w:r>
      <w:proofErr w:type="spellStart"/>
      <w:r>
        <w:rPr>
          <w:rFonts w:cs="Arial"/>
        </w:rPr>
        <w:t>t.j</w:t>
      </w:r>
      <w:proofErr w:type="spellEnd"/>
      <w:r>
        <w:rPr>
          <w:rFonts w:cs="Arial"/>
        </w:rPr>
        <w:t>. Dz. U. z 2019 r., poz. 1839</w:t>
      </w:r>
      <w:r w:rsidR="00551B75">
        <w:rPr>
          <w:rFonts w:cs="Arial"/>
        </w:rPr>
        <w:t xml:space="preserve"> ze zm.</w:t>
      </w:r>
      <w:r>
        <w:rPr>
          <w:rFonts w:cs="Arial"/>
        </w:rPr>
        <w:t xml:space="preserve">), </w:t>
      </w:r>
      <w:r>
        <w:rPr>
          <w:rFonts w:cs="Arial"/>
        </w:rPr>
        <w:t xml:space="preserve">po rozpatrzeniu wniosku: </w:t>
      </w:r>
      <w:r w:rsidR="00551B75">
        <w:rPr>
          <w:rFonts w:cs="Arial"/>
        </w:rPr>
        <w:t xml:space="preserve">Pana Patryka Rakowskiego </w:t>
      </w:r>
      <w:r w:rsidR="00551B75">
        <w:rPr>
          <w:rFonts w:cs="Arial"/>
        </w:rPr>
        <w:br/>
        <w:t xml:space="preserve">– </w:t>
      </w:r>
      <w:proofErr w:type="spellStart"/>
      <w:r w:rsidR="00551B75">
        <w:rPr>
          <w:rFonts w:cs="Arial"/>
        </w:rPr>
        <w:t>Fotowoltaika</w:t>
      </w:r>
      <w:proofErr w:type="spellEnd"/>
      <w:r w:rsidR="00551B75">
        <w:rPr>
          <w:rFonts w:cs="Arial"/>
        </w:rPr>
        <w:t xml:space="preserve"> Ochrona Środowiska, ul Reymonta 43, 89-100 Nakło nad Notecią – Pełnomocnika inwestora  VOTUM GREEN PROJECT S.A. ul. Wyścigowa 56i, 53-012 Wrocław </w:t>
      </w:r>
      <w:r>
        <w:rPr>
          <w:rFonts w:cs="Arial"/>
        </w:rPr>
        <w:t>w</w:t>
      </w:r>
      <w:r>
        <w:rPr>
          <w:rFonts w:cs="Arial"/>
        </w:rPr>
        <w:t xml:space="preserve"> </w:t>
      </w:r>
      <w:r>
        <w:rPr>
          <w:rFonts w:cs="Arial"/>
        </w:rPr>
        <w:t>o</w:t>
      </w:r>
      <w:r>
        <w:rPr>
          <w:rFonts w:cs="Arial"/>
        </w:rPr>
        <w:t>p</w:t>
      </w:r>
      <w:r>
        <w:rPr>
          <w:rFonts w:cs="Arial"/>
        </w:rPr>
        <w:t xml:space="preserve">arciu </w:t>
      </w:r>
      <w:r w:rsidR="00551B75">
        <w:rPr>
          <w:rFonts w:cs="Arial"/>
        </w:rPr>
        <w:br/>
      </w:r>
      <w:r>
        <w:rPr>
          <w:rFonts w:cs="Arial"/>
        </w:rPr>
        <w:t xml:space="preserve">o uzgodnienie Regionalnego Dyrektora Ochrony Środowiska w Gorzowie Wielkopolskim z dnia </w:t>
      </w:r>
      <w:r w:rsidR="00551B75">
        <w:rPr>
          <w:rFonts w:cs="Arial"/>
        </w:rPr>
        <w:br/>
        <w:t>2</w:t>
      </w:r>
      <w:r>
        <w:rPr>
          <w:rFonts w:cs="Arial"/>
        </w:rPr>
        <w:t xml:space="preserve"> </w:t>
      </w:r>
      <w:r w:rsidR="00551B75">
        <w:rPr>
          <w:rFonts w:cs="Arial"/>
        </w:rPr>
        <w:t>sierpnia</w:t>
      </w:r>
      <w:r>
        <w:rPr>
          <w:rFonts w:cs="Arial"/>
        </w:rPr>
        <w:t xml:space="preserve"> 202</w:t>
      </w:r>
      <w:r w:rsidR="00551B75">
        <w:rPr>
          <w:rFonts w:cs="Arial"/>
        </w:rPr>
        <w:t>2</w:t>
      </w:r>
      <w:r>
        <w:rPr>
          <w:rFonts w:cs="Arial"/>
        </w:rPr>
        <w:t xml:space="preserve"> r.</w:t>
      </w:r>
      <w:r>
        <w:rPr>
          <w:rFonts w:cs="Arial"/>
        </w:rPr>
        <w:t>, znak: WZŚ.4221.</w:t>
      </w:r>
      <w:r w:rsidR="00551B75">
        <w:rPr>
          <w:rFonts w:cs="Arial"/>
        </w:rPr>
        <w:t>120</w:t>
      </w:r>
      <w:r>
        <w:rPr>
          <w:rFonts w:cs="Arial"/>
        </w:rPr>
        <w:t>.202</w:t>
      </w:r>
      <w:r w:rsidR="00551B75">
        <w:rPr>
          <w:rFonts w:cs="Arial"/>
        </w:rPr>
        <w:t>2</w:t>
      </w:r>
      <w:r>
        <w:rPr>
          <w:rFonts w:cs="Arial"/>
        </w:rPr>
        <w:t>.D</w:t>
      </w:r>
      <w:r w:rsidR="00654520">
        <w:rPr>
          <w:rFonts w:cs="Arial"/>
        </w:rPr>
        <w:t>M</w:t>
      </w:r>
      <w:r>
        <w:rPr>
          <w:rFonts w:cs="Arial"/>
        </w:rPr>
        <w:t xml:space="preserve"> i opinię </w:t>
      </w:r>
      <w:r>
        <w:rPr>
          <w:rFonts w:cs="Arial"/>
        </w:rPr>
        <w:t xml:space="preserve">Państwowego Gospodarstwa Wodnego Wody Polskie Zarząd Zlewni w Zgorzelcu z dnia </w:t>
      </w:r>
      <w:r w:rsidR="00654520">
        <w:rPr>
          <w:rFonts w:cs="Arial"/>
        </w:rPr>
        <w:t>22</w:t>
      </w:r>
      <w:r>
        <w:rPr>
          <w:rFonts w:cs="Arial"/>
        </w:rPr>
        <w:t xml:space="preserve"> </w:t>
      </w:r>
      <w:r w:rsidR="00654520">
        <w:rPr>
          <w:rFonts w:cs="Arial"/>
        </w:rPr>
        <w:t>października</w:t>
      </w:r>
      <w:r>
        <w:rPr>
          <w:rFonts w:cs="Arial"/>
        </w:rPr>
        <w:t xml:space="preserve"> 202</w:t>
      </w:r>
      <w:r w:rsidR="00654520">
        <w:rPr>
          <w:rFonts w:cs="Arial"/>
        </w:rPr>
        <w:t>1</w:t>
      </w:r>
      <w:r>
        <w:rPr>
          <w:rFonts w:cs="Arial"/>
        </w:rPr>
        <w:t xml:space="preserve"> r. znak: WR.ZZŚ.6.435.</w:t>
      </w:r>
      <w:r w:rsidR="00654520">
        <w:rPr>
          <w:rFonts w:cs="Arial"/>
        </w:rPr>
        <w:t>68</w:t>
      </w:r>
      <w:r>
        <w:rPr>
          <w:rFonts w:cs="Arial"/>
        </w:rPr>
        <w:t>.202</w:t>
      </w:r>
      <w:r w:rsidR="00654520">
        <w:rPr>
          <w:rFonts w:cs="Arial"/>
        </w:rPr>
        <w:t>1</w:t>
      </w:r>
      <w:r>
        <w:rPr>
          <w:rFonts w:cs="Arial"/>
        </w:rPr>
        <w:t>.</w:t>
      </w:r>
      <w:r w:rsidR="00654520">
        <w:rPr>
          <w:rFonts w:cs="Arial"/>
        </w:rPr>
        <w:t>KS</w:t>
      </w:r>
    </w:p>
    <w:p w:rsidR="00ED7026" w:rsidRDefault="00ED7026">
      <w:pPr>
        <w:pStyle w:val="dtz"/>
        <w:tabs>
          <w:tab w:val="left" w:pos="567"/>
        </w:tabs>
        <w:spacing w:before="0" w:after="0" w:line="276" w:lineRule="auto"/>
        <w:jc w:val="center"/>
        <w:rPr>
          <w:rFonts w:cs="Arial"/>
          <w:b/>
        </w:rPr>
      </w:pPr>
    </w:p>
    <w:p w:rsidR="00ED7026" w:rsidRDefault="00D154C4">
      <w:pPr>
        <w:pStyle w:val="dtz"/>
        <w:tabs>
          <w:tab w:val="left" w:pos="567"/>
        </w:tabs>
        <w:spacing w:before="0" w:after="0" w:line="276" w:lineRule="auto"/>
        <w:jc w:val="center"/>
        <w:rPr>
          <w:rFonts w:cs="Arial"/>
          <w:b/>
        </w:rPr>
      </w:pPr>
      <w:r>
        <w:rPr>
          <w:rFonts w:cs="Arial"/>
          <w:b/>
        </w:rPr>
        <w:t>OKREŚLAM</w:t>
      </w:r>
    </w:p>
    <w:p w:rsidR="00ED7026" w:rsidRDefault="00D154C4">
      <w:pPr>
        <w:pStyle w:val="dtz"/>
        <w:tabs>
          <w:tab w:val="left" w:pos="567"/>
        </w:tabs>
        <w:spacing w:before="0" w:after="0" w:line="276" w:lineRule="auto"/>
        <w:jc w:val="center"/>
      </w:pPr>
      <w:r>
        <w:rPr>
          <w:rFonts w:cs="Arial"/>
          <w:b/>
          <w:bCs/>
          <w:i/>
        </w:rPr>
        <w:t>środowiskowe uwarunkowania na realizację przedsięwzięcia pod nazwą:</w:t>
      </w:r>
    </w:p>
    <w:p w:rsidR="00ED7026" w:rsidRDefault="00ED7026">
      <w:pPr>
        <w:pStyle w:val="dtz"/>
        <w:tabs>
          <w:tab w:val="left" w:pos="567"/>
        </w:tabs>
        <w:spacing w:before="0" w:after="0" w:line="276" w:lineRule="auto"/>
        <w:jc w:val="center"/>
      </w:pPr>
    </w:p>
    <w:p w:rsidR="00ED7026" w:rsidRDefault="00D154C4">
      <w:pPr>
        <w:pStyle w:val="Akapitzlist"/>
        <w:tabs>
          <w:tab w:val="left" w:pos="567"/>
        </w:tabs>
        <w:suppressAutoHyphens w:val="0"/>
        <w:spacing w:line="276" w:lineRule="auto"/>
        <w:ind w:left="0"/>
        <w:jc w:val="center"/>
      </w:pPr>
      <w:r>
        <w:rPr>
          <w:rFonts w:cs="Arial"/>
          <w:b/>
          <w:bCs/>
        </w:rPr>
        <w:t>Budow</w:t>
      </w:r>
      <w:r w:rsidR="00654520">
        <w:rPr>
          <w:rFonts w:cs="Arial"/>
          <w:b/>
          <w:bCs/>
        </w:rPr>
        <w:t>a</w:t>
      </w:r>
      <w:r>
        <w:rPr>
          <w:rFonts w:cs="Arial"/>
          <w:b/>
          <w:bCs/>
        </w:rPr>
        <w:t xml:space="preserve"> </w:t>
      </w:r>
      <w:r w:rsidR="00654520">
        <w:rPr>
          <w:rFonts w:cs="Arial"/>
          <w:b/>
          <w:bCs/>
        </w:rPr>
        <w:t>instalacji</w:t>
      </w:r>
      <w:r>
        <w:rPr>
          <w:rFonts w:cs="Arial"/>
          <w:b/>
          <w:bCs/>
        </w:rPr>
        <w:t xml:space="preserve"> fotowoltaicznej o mocy do </w:t>
      </w:r>
      <w:r w:rsidR="00654520">
        <w:rPr>
          <w:rFonts w:cs="Arial"/>
          <w:b/>
          <w:bCs/>
        </w:rPr>
        <w:t>3</w:t>
      </w:r>
      <w:r>
        <w:rPr>
          <w:rFonts w:cs="Arial"/>
          <w:b/>
          <w:bCs/>
        </w:rPr>
        <w:t xml:space="preserve"> MW</w:t>
      </w:r>
      <w:r w:rsidR="00654520">
        <w:rPr>
          <w:rFonts w:cs="Arial"/>
          <w:b/>
          <w:bCs/>
        </w:rPr>
        <w:t xml:space="preserve"> wraz z towarzyszącą infrastrukturą </w:t>
      </w:r>
      <w:r w:rsidR="00654520">
        <w:rPr>
          <w:rFonts w:cs="Arial"/>
          <w:b/>
          <w:bCs/>
        </w:rPr>
        <w:br/>
        <w:t>zlokalizowanej</w:t>
      </w:r>
      <w:r>
        <w:rPr>
          <w:rFonts w:cs="Arial"/>
          <w:b/>
          <w:bCs/>
        </w:rPr>
        <w:t xml:space="preserve"> na dział</w:t>
      </w:r>
      <w:r w:rsidR="00654520">
        <w:rPr>
          <w:rFonts w:cs="Arial"/>
          <w:b/>
          <w:bCs/>
        </w:rPr>
        <w:t>kach o</w:t>
      </w:r>
      <w:r>
        <w:rPr>
          <w:rFonts w:cs="Arial"/>
          <w:b/>
          <w:bCs/>
        </w:rPr>
        <w:t xml:space="preserve"> n</w:t>
      </w:r>
      <w:r w:rsidR="00654520">
        <w:rPr>
          <w:rFonts w:cs="Arial"/>
          <w:b/>
          <w:bCs/>
        </w:rPr>
        <w:t>ume</w:t>
      </w:r>
      <w:r>
        <w:rPr>
          <w:rFonts w:cs="Arial"/>
          <w:b/>
          <w:bCs/>
        </w:rPr>
        <w:t>r</w:t>
      </w:r>
      <w:r w:rsidR="00654520">
        <w:rPr>
          <w:rFonts w:cs="Arial"/>
          <w:b/>
          <w:bCs/>
        </w:rPr>
        <w:t>ach ewidencyjnych</w:t>
      </w:r>
      <w:r>
        <w:rPr>
          <w:rFonts w:cs="Arial"/>
          <w:b/>
          <w:bCs/>
        </w:rPr>
        <w:t xml:space="preserve"> </w:t>
      </w:r>
      <w:r w:rsidR="00654520">
        <w:rPr>
          <w:rFonts w:cs="Arial"/>
          <w:b/>
          <w:bCs/>
        </w:rPr>
        <w:t>188/1, 188/2, 189, 190/3, 193</w:t>
      </w:r>
      <w:r>
        <w:rPr>
          <w:rFonts w:cs="Arial"/>
          <w:b/>
          <w:bCs/>
        </w:rPr>
        <w:t>, obręb 00</w:t>
      </w:r>
      <w:r w:rsidR="00654520">
        <w:rPr>
          <w:rFonts w:cs="Arial"/>
          <w:b/>
          <w:bCs/>
        </w:rPr>
        <w:t>1</w:t>
      </w:r>
      <w:r>
        <w:rPr>
          <w:rFonts w:cs="Arial"/>
          <w:b/>
          <w:bCs/>
        </w:rPr>
        <w:t xml:space="preserve">3 </w:t>
      </w:r>
      <w:r w:rsidR="00654520">
        <w:rPr>
          <w:rFonts w:cs="Arial"/>
          <w:b/>
          <w:bCs/>
        </w:rPr>
        <w:t>Tuplice</w:t>
      </w:r>
      <w:r>
        <w:rPr>
          <w:rFonts w:cs="Arial"/>
          <w:b/>
          <w:bCs/>
        </w:rPr>
        <w:t>, gmina Tuplice</w:t>
      </w:r>
    </w:p>
    <w:p w:rsidR="00ED7026" w:rsidRDefault="00ED7026">
      <w:pPr>
        <w:pStyle w:val="Textbodyindent"/>
        <w:tabs>
          <w:tab w:val="left" w:pos="567"/>
        </w:tabs>
        <w:spacing w:line="276" w:lineRule="auto"/>
        <w:ind w:left="0" w:firstLine="0"/>
        <w:rPr>
          <w:rFonts w:ascii="Arial" w:hAnsi="Arial" w:cs="Arial"/>
          <w:b/>
          <w:bCs/>
          <w:u w:val="single"/>
        </w:rPr>
      </w:pPr>
    </w:p>
    <w:p w:rsidR="00ED7026" w:rsidRDefault="00D154C4">
      <w:pPr>
        <w:pStyle w:val="dtz"/>
        <w:tabs>
          <w:tab w:val="left" w:pos="567"/>
        </w:tabs>
        <w:spacing w:before="0" w:after="200"/>
        <w:jc w:val="both"/>
        <w:rPr>
          <w:rFonts w:cs="Arial"/>
          <w:b/>
          <w:color w:val="00000A"/>
          <w:u w:val="single"/>
        </w:rPr>
      </w:pPr>
      <w:r>
        <w:rPr>
          <w:rFonts w:cs="Arial"/>
          <w:b/>
          <w:color w:val="00000A"/>
          <w:u w:val="single"/>
        </w:rPr>
        <w:t>pod następującymi warunkami:</w:t>
      </w:r>
    </w:p>
    <w:p w:rsidR="00654520" w:rsidRPr="00654520" w:rsidRDefault="00D154C4" w:rsidP="00654520">
      <w:pPr>
        <w:pStyle w:val="Akapitzlist"/>
        <w:numPr>
          <w:ilvl w:val="0"/>
          <w:numId w:val="38"/>
        </w:numPr>
        <w:suppressAutoHyphens w:val="0"/>
        <w:autoSpaceDN/>
        <w:ind w:left="284" w:hanging="284"/>
        <w:contextualSpacing/>
        <w:jc w:val="both"/>
        <w:textAlignment w:val="auto"/>
        <w:rPr>
          <w:b/>
          <w:kern w:val="0"/>
        </w:rPr>
      </w:pPr>
      <w:r>
        <w:rPr>
          <w:rFonts w:cs="Arial"/>
          <w:b/>
          <w:color w:val="00000A"/>
        </w:rPr>
        <w:t>1.</w:t>
      </w:r>
      <w:r>
        <w:rPr>
          <w:rFonts w:cs="Arial"/>
          <w:b/>
          <w:color w:val="00000A"/>
        </w:rPr>
        <w:tab/>
      </w:r>
      <w:r w:rsidR="00654520" w:rsidRPr="00654520">
        <w:rPr>
          <w:b/>
          <w:kern w:val="0"/>
        </w:rPr>
        <w:t xml:space="preserve">Rodzaj i miejsce realizacji przedsięwzięcia: </w:t>
      </w:r>
    </w:p>
    <w:p w:rsidR="00654520" w:rsidRPr="00654520" w:rsidRDefault="00654520" w:rsidP="00654520">
      <w:pPr>
        <w:widowControl/>
        <w:suppressAutoHyphens w:val="0"/>
        <w:autoSpaceDN/>
        <w:spacing w:after="0" w:line="240" w:lineRule="auto"/>
        <w:ind w:left="284"/>
        <w:contextualSpacing/>
        <w:jc w:val="both"/>
        <w:textAlignment w:val="auto"/>
        <w:rPr>
          <w:rFonts w:eastAsia="Calibri" w:cs="Calibri"/>
          <w:kern w:val="0"/>
        </w:rPr>
      </w:pPr>
      <w:r w:rsidRPr="00654520">
        <w:rPr>
          <w:rFonts w:ascii="Times New Roman" w:eastAsia="Times New Roman" w:hAnsi="Times New Roman" w:cs="Times New Roman"/>
          <w:kern w:val="0"/>
          <w:sz w:val="24"/>
          <w:szCs w:val="24"/>
          <w:lang w:eastAsia="pl-PL"/>
        </w:rPr>
        <w:t xml:space="preserve">Przedsięwzięcie polega na budowie elektrowni fotowoltaicznej o mocy do 3 MW </w:t>
      </w:r>
      <w:r w:rsidRPr="00654520">
        <w:rPr>
          <w:rFonts w:ascii="Times New Roman" w:eastAsia="Times New Roman" w:hAnsi="Times New Roman" w:cs="Times New Roman"/>
          <w:kern w:val="0"/>
          <w:sz w:val="24"/>
          <w:szCs w:val="24"/>
          <w:lang w:eastAsia="pl-PL"/>
        </w:rPr>
        <w:br/>
        <w:t xml:space="preserve">wraz z niezbędną infrastrukturą towarzyszącą na działkach nr 188/1, 188/2, 189, 190/3, 193 obręb Tuplice, gmina Tuplice. Całkowita powierzchnia ww. działek wynosi 5,43 ha </w:t>
      </w:r>
      <w:r w:rsidRPr="00654520">
        <w:rPr>
          <w:rFonts w:ascii="Times New Roman" w:eastAsia="Times New Roman" w:hAnsi="Times New Roman" w:cs="Times New Roman"/>
          <w:kern w:val="0"/>
          <w:sz w:val="24"/>
          <w:szCs w:val="24"/>
          <w:lang w:eastAsia="pl-PL"/>
        </w:rPr>
        <w:br/>
        <w:t>i cała zostanie przeznaczona do realizacji przedsięwzięcia.</w:t>
      </w:r>
    </w:p>
    <w:p w:rsidR="00654520" w:rsidRPr="00654520" w:rsidRDefault="00654520" w:rsidP="00654520">
      <w:pPr>
        <w:widowControl/>
        <w:suppressAutoHyphens w:val="0"/>
        <w:autoSpaceDN/>
        <w:spacing w:after="0" w:line="240" w:lineRule="auto"/>
        <w:ind w:left="284"/>
        <w:contextualSpacing/>
        <w:jc w:val="both"/>
        <w:textAlignment w:val="auto"/>
        <w:rPr>
          <w:rFonts w:ascii="Times New Roman" w:eastAsia="Times New Roman" w:hAnsi="Times New Roman" w:cs="Times New Roman"/>
          <w:kern w:val="0"/>
          <w:sz w:val="8"/>
          <w:szCs w:val="8"/>
          <w:lang w:eastAsia="pl-PL"/>
        </w:rPr>
      </w:pPr>
    </w:p>
    <w:p w:rsidR="00654520" w:rsidRPr="00654520" w:rsidRDefault="00654520" w:rsidP="00654520">
      <w:pPr>
        <w:widowControl/>
        <w:numPr>
          <w:ilvl w:val="0"/>
          <w:numId w:val="38"/>
        </w:numPr>
        <w:suppressAutoHyphens w:val="0"/>
        <w:autoSpaceDN/>
        <w:spacing w:after="0" w:line="240" w:lineRule="auto"/>
        <w:ind w:left="284" w:hanging="284"/>
        <w:contextualSpacing/>
        <w:jc w:val="both"/>
        <w:textAlignment w:val="auto"/>
        <w:rPr>
          <w:rFonts w:ascii="Times New Roman" w:eastAsia="Times New Roman" w:hAnsi="Times New Roman" w:cs="Times New Roman"/>
          <w:b/>
          <w:kern w:val="0"/>
          <w:sz w:val="24"/>
          <w:szCs w:val="24"/>
          <w:lang w:eastAsia="pl-PL"/>
        </w:rPr>
      </w:pPr>
      <w:r w:rsidRPr="00654520">
        <w:rPr>
          <w:rFonts w:ascii="Times New Roman" w:eastAsia="Times New Roman" w:hAnsi="Times New Roman" w:cs="Times New Roman"/>
          <w:b/>
          <w:kern w:val="0"/>
          <w:sz w:val="24"/>
          <w:szCs w:val="24"/>
          <w:lang w:eastAsia="pl-PL"/>
        </w:rPr>
        <w:t>Warunki realizacji na etapie budowy, eksploatacji i likwidacji przedsięwzięcia:</w:t>
      </w:r>
    </w:p>
    <w:p w:rsidR="00654520" w:rsidRPr="00654520" w:rsidRDefault="00654520" w:rsidP="00654520">
      <w:pPr>
        <w:widowControl/>
        <w:numPr>
          <w:ilvl w:val="1"/>
          <w:numId w:val="38"/>
        </w:numPr>
        <w:suppressAutoHyphens w:val="0"/>
        <w:autoSpaceDN/>
        <w:spacing w:after="0" w:line="240" w:lineRule="auto"/>
        <w:ind w:left="993" w:hanging="559"/>
        <w:contextualSpacing/>
        <w:jc w:val="both"/>
        <w:textAlignment w:val="auto"/>
        <w:rPr>
          <w:rFonts w:eastAsia="Calibri" w:cs="Calibri"/>
          <w:color w:val="C9211E"/>
          <w:kern w:val="0"/>
        </w:rPr>
      </w:pPr>
      <w:r w:rsidRPr="00654520">
        <w:rPr>
          <w:rFonts w:ascii="Times New Roman" w:eastAsia="Calibri" w:hAnsi="Times New Roman" w:cs="Times New Roman"/>
          <w:kern w:val="0"/>
          <w:sz w:val="24"/>
          <w:szCs w:val="24"/>
        </w:rPr>
        <w:t>Wykopy otwierać krótko przed ułożeniem instalacji, nie przetrzymywać ich,</w:t>
      </w:r>
      <w:r w:rsidRPr="00654520">
        <w:rPr>
          <w:rFonts w:ascii="Times New Roman" w:eastAsia="Calibri" w:hAnsi="Times New Roman" w:cs="Times New Roman"/>
          <w:kern w:val="0"/>
          <w:sz w:val="24"/>
          <w:szCs w:val="24"/>
        </w:rPr>
        <w:br/>
        <w:t>i natychmiast zasypywać po wykonanej pracy, by nie stanowiły pułapki dla zwierząt.</w:t>
      </w:r>
    </w:p>
    <w:p w:rsidR="00654520" w:rsidRPr="00654520" w:rsidRDefault="00654520" w:rsidP="00654520">
      <w:pPr>
        <w:widowControl/>
        <w:suppressAutoHyphens w:val="0"/>
        <w:autoSpaceDN/>
        <w:spacing w:after="0" w:line="240" w:lineRule="auto"/>
        <w:ind w:left="851"/>
        <w:contextualSpacing/>
        <w:jc w:val="both"/>
        <w:textAlignment w:val="auto"/>
        <w:rPr>
          <w:rFonts w:ascii="Times New Roman" w:eastAsia="Times New Roman" w:hAnsi="Times New Roman" w:cs="Times New Roman"/>
          <w:color w:val="FF0000"/>
          <w:kern w:val="0"/>
          <w:sz w:val="8"/>
          <w:szCs w:val="8"/>
          <w:lang w:eastAsia="pl-PL"/>
        </w:rPr>
      </w:pPr>
    </w:p>
    <w:p w:rsidR="00654520" w:rsidRPr="00654520" w:rsidRDefault="00654520" w:rsidP="00654520">
      <w:pPr>
        <w:widowControl/>
        <w:numPr>
          <w:ilvl w:val="0"/>
          <w:numId w:val="38"/>
        </w:numPr>
        <w:suppressAutoHyphens w:val="0"/>
        <w:autoSpaceDN/>
        <w:spacing w:after="0" w:line="240" w:lineRule="auto"/>
        <w:ind w:left="284" w:hanging="284"/>
        <w:contextualSpacing/>
        <w:jc w:val="both"/>
        <w:textAlignment w:val="auto"/>
        <w:rPr>
          <w:rFonts w:ascii="Times New Roman" w:eastAsia="Times New Roman" w:hAnsi="Times New Roman" w:cs="Times New Roman"/>
          <w:b/>
          <w:kern w:val="0"/>
          <w:sz w:val="24"/>
          <w:szCs w:val="24"/>
          <w:lang w:eastAsia="pl-PL"/>
        </w:rPr>
      </w:pPr>
      <w:r w:rsidRPr="00654520">
        <w:rPr>
          <w:rFonts w:ascii="Times New Roman" w:eastAsia="Times New Roman" w:hAnsi="Times New Roman" w:cs="Times New Roman"/>
          <w:b/>
          <w:kern w:val="0"/>
          <w:sz w:val="24"/>
          <w:szCs w:val="24"/>
          <w:lang w:eastAsia="pl-PL"/>
        </w:rPr>
        <w:t xml:space="preserve">Wymagania dotyczące ochrony środowiska konieczne do uwzględnienia </w:t>
      </w:r>
      <w:r w:rsidRPr="00654520">
        <w:rPr>
          <w:rFonts w:ascii="Times New Roman" w:eastAsia="Times New Roman" w:hAnsi="Times New Roman" w:cs="Times New Roman"/>
          <w:b/>
          <w:kern w:val="0"/>
          <w:sz w:val="24"/>
          <w:szCs w:val="24"/>
          <w:lang w:eastAsia="pl-PL"/>
        </w:rPr>
        <w:br/>
        <w:t xml:space="preserve">w dokumentacji wymaganej do wydania decyzji, o której mowa w art. 72 ust. 1 ustawy o </w:t>
      </w:r>
      <w:proofErr w:type="spellStart"/>
      <w:r w:rsidRPr="00654520">
        <w:rPr>
          <w:rFonts w:ascii="Times New Roman" w:eastAsia="Times New Roman" w:hAnsi="Times New Roman" w:cs="Times New Roman"/>
          <w:b/>
          <w:kern w:val="0"/>
          <w:sz w:val="24"/>
          <w:szCs w:val="24"/>
          <w:lang w:eastAsia="pl-PL"/>
        </w:rPr>
        <w:t>ooś</w:t>
      </w:r>
      <w:proofErr w:type="spellEnd"/>
      <w:r w:rsidRPr="00654520">
        <w:rPr>
          <w:rFonts w:ascii="Times New Roman" w:eastAsia="Calibri" w:hAnsi="Times New Roman" w:cs="Times New Roman"/>
          <w:b/>
          <w:kern w:val="0"/>
          <w:sz w:val="24"/>
          <w:szCs w:val="24"/>
        </w:rPr>
        <w:t>:</w:t>
      </w:r>
    </w:p>
    <w:p w:rsidR="00654520" w:rsidRPr="00654520" w:rsidRDefault="00654520" w:rsidP="00654520">
      <w:pPr>
        <w:widowControl/>
        <w:numPr>
          <w:ilvl w:val="1"/>
          <w:numId w:val="39"/>
        </w:numPr>
        <w:suppressAutoHyphens w:val="0"/>
        <w:autoSpaceDN/>
        <w:spacing w:after="0" w:line="240" w:lineRule="auto"/>
        <w:ind w:left="993" w:hanging="567"/>
        <w:contextualSpacing/>
        <w:jc w:val="both"/>
        <w:textAlignment w:val="auto"/>
        <w:rPr>
          <w:rFonts w:eastAsia="Calibri" w:cs="Calibri"/>
          <w:kern w:val="0"/>
        </w:rPr>
      </w:pPr>
      <w:r w:rsidRPr="00654520">
        <w:rPr>
          <w:rFonts w:ascii="Times New Roman" w:eastAsia="Calibri" w:hAnsi="Times New Roman" w:cs="Times New Roman"/>
          <w:kern w:val="0"/>
          <w:sz w:val="24"/>
          <w:szCs w:val="24"/>
        </w:rPr>
        <w:t xml:space="preserve">Zainstalować panele fotowoltaiczne o łącznej mocy elektrowni fotowoltaicznej </w:t>
      </w:r>
      <w:r w:rsidRPr="00654520">
        <w:rPr>
          <w:rFonts w:ascii="Times New Roman" w:eastAsia="Calibri" w:hAnsi="Times New Roman" w:cs="Times New Roman"/>
          <w:kern w:val="0"/>
          <w:sz w:val="24"/>
          <w:szCs w:val="24"/>
        </w:rPr>
        <w:br/>
        <w:t>do 3 MW.</w:t>
      </w:r>
    </w:p>
    <w:p w:rsidR="00654520" w:rsidRPr="00654520" w:rsidRDefault="00654520" w:rsidP="00654520">
      <w:pPr>
        <w:widowControl/>
        <w:numPr>
          <w:ilvl w:val="1"/>
          <w:numId w:val="39"/>
        </w:numPr>
        <w:suppressAutoHyphens w:val="0"/>
        <w:autoSpaceDN/>
        <w:spacing w:after="0" w:line="240" w:lineRule="auto"/>
        <w:ind w:left="993" w:hanging="567"/>
        <w:contextualSpacing/>
        <w:jc w:val="both"/>
        <w:textAlignment w:val="auto"/>
        <w:rPr>
          <w:rFonts w:eastAsia="Calibri" w:cs="Calibri"/>
          <w:kern w:val="0"/>
        </w:rPr>
      </w:pPr>
      <w:r w:rsidRPr="00654520">
        <w:rPr>
          <w:rFonts w:ascii="Times New Roman" w:eastAsia="Calibri" w:hAnsi="Times New Roman" w:cs="Times New Roman"/>
          <w:kern w:val="0"/>
          <w:sz w:val="24"/>
          <w:szCs w:val="24"/>
        </w:rPr>
        <w:t>Zastosować panele fotowoltaiczne pokryte powłoką antyrefleksyjną.</w:t>
      </w:r>
    </w:p>
    <w:p w:rsidR="00654520" w:rsidRPr="00654520" w:rsidRDefault="00654520" w:rsidP="00654520">
      <w:pPr>
        <w:widowControl/>
        <w:numPr>
          <w:ilvl w:val="1"/>
          <w:numId w:val="39"/>
        </w:numPr>
        <w:suppressAutoHyphens w:val="0"/>
        <w:autoSpaceDN/>
        <w:spacing w:after="0" w:line="240" w:lineRule="auto"/>
        <w:ind w:left="993" w:hanging="567"/>
        <w:contextualSpacing/>
        <w:jc w:val="both"/>
        <w:textAlignment w:val="auto"/>
        <w:rPr>
          <w:rFonts w:ascii="Times New Roman" w:eastAsia="Calibri" w:hAnsi="Times New Roman" w:cs="Times New Roman"/>
          <w:kern w:val="0"/>
          <w:sz w:val="24"/>
          <w:szCs w:val="24"/>
        </w:rPr>
      </w:pPr>
      <w:r w:rsidRPr="00654520">
        <w:rPr>
          <w:rFonts w:ascii="Times New Roman" w:eastAsia="Calibri" w:hAnsi="Times New Roman" w:cs="Times New Roman"/>
          <w:kern w:val="0"/>
          <w:sz w:val="24"/>
          <w:szCs w:val="24"/>
        </w:rPr>
        <w:t xml:space="preserve">Zastosować do 3 szt. kontenerowych stacji transformatorowych, każda o poziomie mocy akustycznej nie większym niż 74 </w:t>
      </w:r>
      <w:proofErr w:type="spellStart"/>
      <w:r w:rsidRPr="00654520">
        <w:rPr>
          <w:rFonts w:ascii="Times New Roman" w:eastAsia="Calibri" w:hAnsi="Times New Roman" w:cs="Times New Roman"/>
          <w:kern w:val="0"/>
          <w:sz w:val="24"/>
          <w:szCs w:val="24"/>
        </w:rPr>
        <w:t>dB</w:t>
      </w:r>
      <w:proofErr w:type="spellEnd"/>
      <w:r w:rsidRPr="00654520">
        <w:rPr>
          <w:rFonts w:ascii="Times New Roman" w:eastAsia="Calibri" w:hAnsi="Times New Roman" w:cs="Times New Roman"/>
          <w:kern w:val="0"/>
          <w:sz w:val="24"/>
          <w:szCs w:val="24"/>
        </w:rPr>
        <w:t>.</w:t>
      </w:r>
    </w:p>
    <w:p w:rsidR="00654520" w:rsidRPr="00654520" w:rsidRDefault="00654520" w:rsidP="00654520">
      <w:pPr>
        <w:widowControl/>
        <w:numPr>
          <w:ilvl w:val="1"/>
          <w:numId w:val="39"/>
        </w:numPr>
        <w:suppressAutoHyphens w:val="0"/>
        <w:autoSpaceDN/>
        <w:spacing w:after="0" w:line="240" w:lineRule="auto"/>
        <w:ind w:left="993" w:hanging="567"/>
        <w:contextualSpacing/>
        <w:jc w:val="both"/>
        <w:textAlignment w:val="auto"/>
        <w:rPr>
          <w:rFonts w:eastAsia="Calibri" w:cs="Calibri"/>
          <w:kern w:val="0"/>
        </w:rPr>
      </w:pPr>
      <w:r w:rsidRPr="00654520">
        <w:rPr>
          <w:rFonts w:ascii="Times New Roman" w:eastAsia="Calibri" w:hAnsi="Times New Roman" w:cs="Times New Roman"/>
          <w:kern w:val="0"/>
          <w:sz w:val="24"/>
          <w:szCs w:val="24"/>
        </w:rPr>
        <w:t>Zastosować stacje transformatorowe z modułem suchym; dopuszcza się zastosowanie transformatorów olejowych ze szczelną misą olejową.</w:t>
      </w:r>
    </w:p>
    <w:p w:rsidR="00654520" w:rsidRPr="00654520" w:rsidRDefault="00654520" w:rsidP="00654520">
      <w:pPr>
        <w:widowControl/>
        <w:numPr>
          <w:ilvl w:val="1"/>
          <w:numId w:val="39"/>
        </w:numPr>
        <w:suppressAutoHyphens w:val="0"/>
        <w:autoSpaceDN/>
        <w:spacing w:after="0" w:line="240" w:lineRule="auto"/>
        <w:ind w:left="993" w:hanging="567"/>
        <w:contextualSpacing/>
        <w:jc w:val="both"/>
        <w:textAlignment w:val="auto"/>
        <w:rPr>
          <w:rFonts w:ascii="Times New Roman" w:eastAsia="Calibri" w:hAnsi="Times New Roman" w:cs="Times New Roman"/>
          <w:kern w:val="0"/>
          <w:sz w:val="24"/>
          <w:szCs w:val="24"/>
        </w:rPr>
      </w:pPr>
      <w:r w:rsidRPr="00654520">
        <w:rPr>
          <w:rFonts w:ascii="Times New Roman" w:eastAsia="Calibri" w:hAnsi="Times New Roman" w:cs="Times New Roman"/>
          <w:kern w:val="0"/>
          <w:sz w:val="24"/>
          <w:szCs w:val="24"/>
        </w:rPr>
        <w:t xml:space="preserve">Zastosować do 150 szt. inwerterów, każdy o poziomie mocy akustycznej </w:t>
      </w:r>
      <w:r w:rsidRPr="00654520">
        <w:rPr>
          <w:rFonts w:ascii="Times New Roman" w:eastAsia="Calibri" w:hAnsi="Times New Roman" w:cs="Times New Roman"/>
          <w:kern w:val="0"/>
          <w:sz w:val="24"/>
          <w:szCs w:val="24"/>
        </w:rPr>
        <w:br/>
        <w:t>nie większym niż</w:t>
      </w:r>
      <w:r w:rsidRPr="00654520">
        <w:rPr>
          <w:rFonts w:ascii="Times New Roman" w:eastAsia="Calibri" w:hAnsi="Times New Roman" w:cs="Times New Roman"/>
          <w:kern w:val="0"/>
          <w:sz w:val="24"/>
          <w:szCs w:val="24"/>
          <w:lang w:eastAsia="pl-PL"/>
        </w:rPr>
        <w:t xml:space="preserve"> 65 </w:t>
      </w:r>
      <w:proofErr w:type="spellStart"/>
      <w:r w:rsidRPr="00654520">
        <w:rPr>
          <w:rFonts w:ascii="Times New Roman" w:eastAsia="Calibri" w:hAnsi="Times New Roman" w:cs="Times New Roman"/>
          <w:kern w:val="0"/>
          <w:sz w:val="24"/>
          <w:szCs w:val="24"/>
          <w:lang w:eastAsia="pl-PL"/>
        </w:rPr>
        <w:t>dB</w:t>
      </w:r>
      <w:proofErr w:type="spellEnd"/>
      <w:r w:rsidRPr="00654520">
        <w:rPr>
          <w:rFonts w:ascii="Times New Roman" w:eastAsia="Calibri" w:hAnsi="Times New Roman" w:cs="Times New Roman"/>
          <w:kern w:val="0"/>
          <w:sz w:val="24"/>
          <w:szCs w:val="24"/>
        </w:rPr>
        <w:t>.</w:t>
      </w:r>
    </w:p>
    <w:p w:rsidR="00654520" w:rsidRPr="00654520" w:rsidRDefault="00654520" w:rsidP="00654520">
      <w:pPr>
        <w:widowControl/>
        <w:numPr>
          <w:ilvl w:val="1"/>
          <w:numId w:val="39"/>
        </w:numPr>
        <w:suppressAutoHyphens w:val="0"/>
        <w:autoSpaceDN/>
        <w:spacing w:after="0" w:line="240" w:lineRule="auto"/>
        <w:ind w:left="993" w:hanging="567"/>
        <w:contextualSpacing/>
        <w:jc w:val="both"/>
        <w:textAlignment w:val="auto"/>
        <w:rPr>
          <w:rFonts w:ascii="Times New Roman" w:eastAsia="Calibri" w:hAnsi="Times New Roman" w:cs="Times New Roman"/>
          <w:kern w:val="0"/>
          <w:sz w:val="24"/>
          <w:szCs w:val="24"/>
        </w:rPr>
      </w:pPr>
      <w:r w:rsidRPr="00654520">
        <w:rPr>
          <w:rFonts w:ascii="Times New Roman" w:eastAsia="Calibri" w:hAnsi="Times New Roman" w:cs="Times New Roman"/>
          <w:kern w:val="0"/>
          <w:sz w:val="24"/>
          <w:szCs w:val="24"/>
        </w:rPr>
        <w:lastRenderedPageBreak/>
        <w:t>Nawierzchnię dróg wewnętrznych wykonać jako nieutwardzoną, przepuszczalną.</w:t>
      </w:r>
    </w:p>
    <w:p w:rsidR="00654520" w:rsidRPr="00654520" w:rsidRDefault="00654520" w:rsidP="00654520">
      <w:pPr>
        <w:widowControl/>
        <w:numPr>
          <w:ilvl w:val="1"/>
          <w:numId w:val="39"/>
        </w:numPr>
        <w:suppressAutoHyphens w:val="0"/>
        <w:autoSpaceDN/>
        <w:spacing w:after="0" w:line="240" w:lineRule="auto"/>
        <w:ind w:left="993" w:hanging="567"/>
        <w:contextualSpacing/>
        <w:jc w:val="both"/>
        <w:textAlignment w:val="auto"/>
        <w:rPr>
          <w:rFonts w:ascii="Times New Roman" w:eastAsia="Calibri" w:hAnsi="Times New Roman" w:cs="Times New Roman"/>
          <w:kern w:val="0"/>
          <w:sz w:val="24"/>
          <w:szCs w:val="24"/>
        </w:rPr>
      </w:pPr>
      <w:r w:rsidRPr="00654520">
        <w:rPr>
          <w:rFonts w:ascii="Times New Roman" w:eastAsia="Calibri" w:hAnsi="Times New Roman" w:cs="Times New Roman"/>
          <w:kern w:val="0"/>
          <w:sz w:val="24"/>
          <w:szCs w:val="24"/>
          <w:lang w:eastAsia="x-none"/>
        </w:rPr>
        <w:t>O</w:t>
      </w:r>
      <w:r w:rsidRPr="00654520">
        <w:rPr>
          <w:rFonts w:ascii="Times New Roman" w:eastAsia="Calibri" w:hAnsi="Times New Roman" w:cs="Times New Roman"/>
          <w:kern w:val="0"/>
          <w:sz w:val="24"/>
          <w:szCs w:val="24"/>
          <w:lang w:val="x-none" w:eastAsia="x-none"/>
        </w:rPr>
        <w:t xml:space="preserve">grodzenie </w:t>
      </w:r>
      <w:r w:rsidRPr="00654520">
        <w:rPr>
          <w:rFonts w:ascii="Times New Roman" w:eastAsia="Calibri" w:hAnsi="Times New Roman" w:cs="Times New Roman"/>
          <w:kern w:val="0"/>
          <w:sz w:val="24"/>
          <w:szCs w:val="24"/>
        </w:rPr>
        <w:t>elektrowni fotowoltaicznej montować bez podmurówki z zachowaniem wolnej przestrzeni, o wysokości minimum piętnastu centymetrów, nad gruntem.</w:t>
      </w:r>
    </w:p>
    <w:p w:rsidR="00654520" w:rsidRPr="00654520" w:rsidRDefault="00654520" w:rsidP="00654520">
      <w:pPr>
        <w:widowControl/>
        <w:suppressAutoHyphens w:val="0"/>
        <w:autoSpaceDN/>
        <w:spacing w:after="0" w:line="240" w:lineRule="auto"/>
        <w:ind w:left="993"/>
        <w:contextualSpacing/>
        <w:jc w:val="both"/>
        <w:textAlignment w:val="auto"/>
        <w:rPr>
          <w:rFonts w:ascii="Times New Roman" w:eastAsia="Calibri" w:hAnsi="Times New Roman" w:cs="Times New Roman"/>
          <w:color w:val="FF0000"/>
          <w:kern w:val="0"/>
          <w:sz w:val="8"/>
          <w:szCs w:val="8"/>
          <w:lang w:val="x-none" w:eastAsia="x-none"/>
        </w:rPr>
      </w:pPr>
    </w:p>
    <w:p w:rsidR="00654520" w:rsidRPr="00654520" w:rsidRDefault="00654520" w:rsidP="00654520">
      <w:pPr>
        <w:widowControl/>
        <w:suppressAutoHyphens w:val="0"/>
        <w:autoSpaceDN/>
        <w:spacing w:after="0" w:line="240" w:lineRule="auto"/>
        <w:ind w:left="284" w:hanging="284"/>
        <w:contextualSpacing/>
        <w:jc w:val="both"/>
        <w:textAlignment w:val="auto"/>
        <w:rPr>
          <w:rFonts w:ascii="Times New Roman" w:eastAsia="Times New Roman" w:hAnsi="Times New Roman" w:cs="Times New Roman"/>
          <w:b/>
          <w:kern w:val="0"/>
          <w:sz w:val="24"/>
          <w:szCs w:val="24"/>
          <w:lang w:eastAsia="pl-PL"/>
        </w:rPr>
      </w:pPr>
      <w:r w:rsidRPr="00654520">
        <w:rPr>
          <w:rFonts w:ascii="Times New Roman" w:eastAsia="Times New Roman" w:hAnsi="Times New Roman" w:cs="Times New Roman"/>
          <w:b/>
          <w:kern w:val="0"/>
          <w:sz w:val="24"/>
          <w:szCs w:val="24"/>
          <w:lang w:eastAsia="pl-PL"/>
        </w:rPr>
        <w:t>4.</w:t>
      </w:r>
      <w:r w:rsidRPr="00654520">
        <w:rPr>
          <w:rFonts w:ascii="Times New Roman" w:eastAsia="Times New Roman" w:hAnsi="Times New Roman" w:cs="Times New Roman"/>
          <w:b/>
          <w:kern w:val="0"/>
          <w:sz w:val="24"/>
          <w:szCs w:val="24"/>
          <w:lang w:eastAsia="pl-PL"/>
        </w:rPr>
        <w:tab/>
        <w:t xml:space="preserve">W ramach postępowania w sprawie wydania decyzji, o której mowa w art. 72 ust. 1 ustawy o </w:t>
      </w:r>
      <w:proofErr w:type="spellStart"/>
      <w:r w:rsidRPr="00654520">
        <w:rPr>
          <w:rFonts w:ascii="Times New Roman" w:eastAsia="Times New Roman" w:hAnsi="Times New Roman" w:cs="Times New Roman"/>
          <w:b/>
          <w:kern w:val="0"/>
          <w:sz w:val="24"/>
          <w:szCs w:val="24"/>
          <w:lang w:eastAsia="pl-PL"/>
        </w:rPr>
        <w:t>ooś</w:t>
      </w:r>
      <w:proofErr w:type="spellEnd"/>
      <w:r w:rsidRPr="00654520">
        <w:rPr>
          <w:rFonts w:ascii="Times New Roman" w:eastAsia="Times New Roman" w:hAnsi="Times New Roman" w:cs="Times New Roman"/>
          <w:b/>
          <w:kern w:val="0"/>
          <w:sz w:val="24"/>
          <w:szCs w:val="24"/>
          <w:lang w:eastAsia="pl-PL"/>
        </w:rPr>
        <w:t xml:space="preserve"> brak jest konieczności:</w:t>
      </w:r>
    </w:p>
    <w:p w:rsidR="00654520" w:rsidRPr="00654520" w:rsidRDefault="00654520" w:rsidP="00654520">
      <w:pPr>
        <w:widowControl/>
        <w:suppressAutoHyphens w:val="0"/>
        <w:autoSpaceDN/>
        <w:spacing w:after="0" w:line="240" w:lineRule="auto"/>
        <w:ind w:left="994" w:hanging="546"/>
        <w:contextualSpacing/>
        <w:jc w:val="both"/>
        <w:textAlignment w:val="auto"/>
        <w:rPr>
          <w:rFonts w:ascii="Times New Roman" w:eastAsia="Times New Roman" w:hAnsi="Times New Roman" w:cs="Times New Roman"/>
          <w:kern w:val="0"/>
          <w:sz w:val="24"/>
          <w:szCs w:val="24"/>
          <w:lang w:eastAsia="pl-PL"/>
        </w:rPr>
      </w:pPr>
      <w:r w:rsidRPr="00654520">
        <w:rPr>
          <w:rFonts w:ascii="Times New Roman" w:eastAsia="Times New Roman" w:hAnsi="Times New Roman" w:cs="Times New Roman"/>
          <w:kern w:val="0"/>
          <w:sz w:val="24"/>
          <w:szCs w:val="24"/>
          <w:lang w:eastAsia="pl-PL"/>
        </w:rPr>
        <w:t>4.1.</w:t>
      </w:r>
      <w:r w:rsidRPr="00654520">
        <w:rPr>
          <w:rFonts w:ascii="Times New Roman" w:eastAsia="Times New Roman" w:hAnsi="Times New Roman" w:cs="Times New Roman"/>
          <w:kern w:val="0"/>
          <w:sz w:val="24"/>
          <w:szCs w:val="24"/>
          <w:lang w:eastAsia="pl-PL"/>
        </w:rPr>
        <w:tab/>
        <w:t>przeprowadzenia oceny oddziaływania na środowisko,</w:t>
      </w:r>
    </w:p>
    <w:p w:rsidR="00654520" w:rsidRPr="00654520" w:rsidRDefault="00654520" w:rsidP="00654520">
      <w:pPr>
        <w:widowControl/>
        <w:suppressAutoHyphens w:val="0"/>
        <w:autoSpaceDN/>
        <w:spacing w:after="0" w:line="240" w:lineRule="auto"/>
        <w:ind w:left="994" w:hanging="546"/>
        <w:contextualSpacing/>
        <w:jc w:val="both"/>
        <w:textAlignment w:val="auto"/>
        <w:rPr>
          <w:rFonts w:ascii="Times New Roman" w:eastAsia="Times New Roman" w:hAnsi="Times New Roman" w:cs="Times New Roman"/>
          <w:kern w:val="0"/>
          <w:sz w:val="24"/>
          <w:szCs w:val="24"/>
          <w:lang w:eastAsia="pl-PL"/>
        </w:rPr>
      </w:pPr>
      <w:r w:rsidRPr="00654520">
        <w:rPr>
          <w:rFonts w:ascii="Times New Roman" w:eastAsia="Times New Roman" w:hAnsi="Times New Roman" w:cs="Times New Roman"/>
          <w:kern w:val="0"/>
          <w:sz w:val="24"/>
          <w:szCs w:val="24"/>
          <w:lang w:eastAsia="pl-PL"/>
        </w:rPr>
        <w:t>4.2.</w:t>
      </w:r>
      <w:r w:rsidRPr="00654520">
        <w:rPr>
          <w:rFonts w:ascii="Times New Roman" w:eastAsia="Times New Roman" w:hAnsi="Times New Roman" w:cs="Times New Roman"/>
          <w:kern w:val="0"/>
          <w:sz w:val="24"/>
          <w:szCs w:val="24"/>
          <w:lang w:eastAsia="pl-PL"/>
        </w:rPr>
        <w:tab/>
        <w:t>przeprowadzenia postępowania w sprawie transgranicznego oddziaływania przedsięwzięcia na środowisko.</w:t>
      </w:r>
    </w:p>
    <w:p w:rsidR="00ED7026" w:rsidRDefault="00D154C4" w:rsidP="00654520">
      <w:pPr>
        <w:pStyle w:val="Textbody"/>
        <w:spacing w:before="120"/>
        <w:rPr>
          <w:rFonts w:cs="Arial"/>
          <w:color w:val="00000A"/>
        </w:rPr>
      </w:pPr>
      <w:r>
        <w:rPr>
          <w:rFonts w:cs="Arial"/>
          <w:color w:val="00000A"/>
        </w:rPr>
        <w:t>Dyrektor Zarządu Zlewni w Zgorzelcu Państwowego Gospodarstwa Wodnego Wody Polskie w piśmie znak WR.ZZŚ.6.435.</w:t>
      </w:r>
      <w:r w:rsidR="00654520">
        <w:rPr>
          <w:rFonts w:cs="Arial"/>
          <w:color w:val="00000A"/>
        </w:rPr>
        <w:t>68</w:t>
      </w:r>
      <w:r>
        <w:rPr>
          <w:rFonts w:cs="Arial"/>
          <w:color w:val="00000A"/>
        </w:rPr>
        <w:t>.202</w:t>
      </w:r>
      <w:r w:rsidR="00654520">
        <w:rPr>
          <w:rFonts w:cs="Arial"/>
          <w:color w:val="00000A"/>
        </w:rPr>
        <w:t>1</w:t>
      </w:r>
      <w:r>
        <w:rPr>
          <w:rFonts w:cs="Arial"/>
          <w:color w:val="00000A"/>
        </w:rPr>
        <w:t>.</w:t>
      </w:r>
      <w:r>
        <w:rPr>
          <w:rFonts w:cs="Arial"/>
          <w:color w:val="00000A"/>
        </w:rPr>
        <w:t>K</w:t>
      </w:r>
      <w:r w:rsidR="00654520">
        <w:rPr>
          <w:rFonts w:cs="Arial"/>
          <w:color w:val="00000A"/>
        </w:rPr>
        <w:t>S</w:t>
      </w:r>
      <w:r>
        <w:rPr>
          <w:rFonts w:cs="Arial"/>
          <w:color w:val="00000A"/>
        </w:rPr>
        <w:t xml:space="preserve"> z dnia </w:t>
      </w:r>
      <w:r w:rsidR="00654520">
        <w:rPr>
          <w:rFonts w:cs="Arial"/>
          <w:color w:val="00000A"/>
        </w:rPr>
        <w:t>22</w:t>
      </w:r>
      <w:r>
        <w:rPr>
          <w:rFonts w:cs="Arial"/>
          <w:color w:val="00000A"/>
        </w:rPr>
        <w:t>.1</w:t>
      </w:r>
      <w:r w:rsidR="00654520">
        <w:rPr>
          <w:rFonts w:cs="Arial"/>
          <w:color w:val="00000A"/>
        </w:rPr>
        <w:t>0</w:t>
      </w:r>
      <w:r>
        <w:rPr>
          <w:rFonts w:cs="Arial"/>
          <w:color w:val="00000A"/>
        </w:rPr>
        <w:t>.202</w:t>
      </w:r>
      <w:r w:rsidR="00654520">
        <w:rPr>
          <w:rFonts w:cs="Arial"/>
          <w:color w:val="00000A"/>
        </w:rPr>
        <w:t>1</w:t>
      </w:r>
      <w:r>
        <w:rPr>
          <w:rFonts w:cs="Arial"/>
          <w:color w:val="00000A"/>
        </w:rPr>
        <w:t xml:space="preserve"> r. (data wpływu</w:t>
      </w:r>
      <w:r>
        <w:rPr>
          <w:rFonts w:cs="Arial"/>
          <w:color w:val="00000A"/>
        </w:rPr>
        <w:t xml:space="preserve"> 0</w:t>
      </w:r>
      <w:r w:rsidR="00654520">
        <w:rPr>
          <w:rFonts w:cs="Arial"/>
          <w:color w:val="00000A"/>
        </w:rPr>
        <w:t>2</w:t>
      </w:r>
      <w:r>
        <w:rPr>
          <w:rFonts w:cs="Arial"/>
          <w:color w:val="00000A"/>
        </w:rPr>
        <w:t>.1</w:t>
      </w:r>
      <w:r w:rsidR="00654520">
        <w:rPr>
          <w:rFonts w:cs="Arial"/>
          <w:color w:val="00000A"/>
        </w:rPr>
        <w:t>1</w:t>
      </w:r>
      <w:r>
        <w:rPr>
          <w:rFonts w:cs="Arial"/>
          <w:color w:val="00000A"/>
        </w:rPr>
        <w:t>.2</w:t>
      </w:r>
      <w:r w:rsidR="00654520">
        <w:rPr>
          <w:rFonts w:cs="Arial"/>
          <w:color w:val="00000A"/>
        </w:rPr>
        <w:t>021</w:t>
      </w:r>
      <w:r>
        <w:rPr>
          <w:rFonts w:cs="Arial"/>
          <w:color w:val="00000A"/>
        </w:rPr>
        <w:t xml:space="preserve"> r.) wyraził opinię, że dla przedmiotowego przedsięwzięcia wskazał na konieczność określenia w decyzji o środowiskowych uwarunkowaniach zawartych wymagań:</w:t>
      </w:r>
    </w:p>
    <w:p w:rsidR="000C3B8C" w:rsidRPr="000C3B8C" w:rsidRDefault="00D154C4" w:rsidP="000C3B8C">
      <w:pPr>
        <w:pStyle w:val="Akapitzlist"/>
        <w:numPr>
          <w:ilvl w:val="0"/>
          <w:numId w:val="31"/>
        </w:numPr>
        <w:spacing w:before="120"/>
        <w:jc w:val="both"/>
        <w:rPr>
          <w:rFonts w:eastAsia="Lucida Sans Unicode" w:cs="Arial"/>
          <w:iCs/>
        </w:rPr>
      </w:pPr>
      <w:r>
        <w:rPr>
          <w:rFonts w:cs="Arial"/>
          <w:color w:val="00000A"/>
        </w:rPr>
        <w:t xml:space="preserve"> </w:t>
      </w:r>
      <w:r w:rsidR="000C3B8C" w:rsidRPr="000C3B8C">
        <w:rPr>
          <w:rFonts w:eastAsia="Lucida Sans Unicode" w:cs="Arial"/>
          <w:iCs/>
        </w:rPr>
        <w:t>Zorganizować zaplecze budowy zgodnie z wymogami ochrony środowiska, a w szczególności zapewnić dodatkowe, niżej wymienione zabezpieczenia uniemożliwiające przedostawanie się zanieczyszczeń do środowiska gruntowo-wodnego.</w:t>
      </w:r>
    </w:p>
    <w:p w:rsidR="000C3B8C" w:rsidRPr="000C3B8C" w:rsidRDefault="000C3B8C" w:rsidP="000C3B8C">
      <w:pPr>
        <w:pStyle w:val="Akapitzlist"/>
        <w:numPr>
          <w:ilvl w:val="0"/>
          <w:numId w:val="31"/>
        </w:numPr>
        <w:spacing w:before="120"/>
        <w:jc w:val="both"/>
        <w:rPr>
          <w:rFonts w:eastAsia="Lucida Sans Unicode" w:cs="Arial"/>
          <w:iCs/>
        </w:rPr>
      </w:pPr>
      <w:r w:rsidRPr="000C3B8C">
        <w:rPr>
          <w:rFonts w:eastAsia="Lucida Sans Unicode" w:cs="Arial"/>
          <w:iCs/>
        </w:rPr>
        <w:t>Miejsca postoju maszyn i urządzeń budowlanych, stwarzających zagrożenie zanieczyszczenia środowiska gruntowo-wodnego substancjami ropopochodnymi, utwardzić i uszczelnić oraz wyposażyć w maty sorbujące.</w:t>
      </w:r>
    </w:p>
    <w:p w:rsidR="000C3B8C" w:rsidRPr="000C3B8C" w:rsidRDefault="000C3B8C" w:rsidP="000C3B8C">
      <w:pPr>
        <w:pStyle w:val="Akapitzlist"/>
        <w:numPr>
          <w:ilvl w:val="0"/>
          <w:numId w:val="31"/>
        </w:numPr>
        <w:spacing w:before="120"/>
        <w:jc w:val="both"/>
        <w:rPr>
          <w:rFonts w:eastAsia="Lucida Sans Unicode" w:cs="Arial"/>
          <w:iCs/>
        </w:rPr>
      </w:pPr>
      <w:r w:rsidRPr="000C3B8C">
        <w:rPr>
          <w:rFonts w:eastAsia="Lucida Sans Unicode" w:cs="Arial"/>
          <w:iCs/>
        </w:rPr>
        <w:t>W celu zminimalizowania poziomu emisji zanieczyszczeń do środowiska wodnego, stale prowadzić kontrole stanu technicznego maszyn i urządzeń pracujących na terenie budowy.</w:t>
      </w:r>
    </w:p>
    <w:p w:rsidR="000C3B8C" w:rsidRPr="000C3B8C" w:rsidRDefault="000C3B8C" w:rsidP="000C3B8C">
      <w:pPr>
        <w:pStyle w:val="Akapitzlist"/>
        <w:numPr>
          <w:ilvl w:val="0"/>
          <w:numId w:val="31"/>
        </w:numPr>
        <w:spacing w:before="120"/>
        <w:jc w:val="both"/>
        <w:rPr>
          <w:rFonts w:eastAsia="Lucida Sans Unicode" w:cs="Arial"/>
          <w:iCs/>
        </w:rPr>
      </w:pPr>
      <w:r w:rsidRPr="000C3B8C">
        <w:rPr>
          <w:rFonts w:eastAsia="Lucida Sans Unicode" w:cs="Arial"/>
          <w:iCs/>
        </w:rPr>
        <w:t>W trakcie prac budowlanych chronić otwarte wykopy przed ich zalaniem oraz przed możliwością przedostania się do nich zanieczyszczeń.</w:t>
      </w:r>
    </w:p>
    <w:p w:rsidR="000C3B8C" w:rsidRPr="000C3B8C" w:rsidRDefault="000C3B8C" w:rsidP="000C3B8C">
      <w:pPr>
        <w:pStyle w:val="Akapitzlist"/>
        <w:numPr>
          <w:ilvl w:val="0"/>
          <w:numId w:val="31"/>
        </w:numPr>
        <w:spacing w:before="120"/>
        <w:jc w:val="both"/>
        <w:rPr>
          <w:rFonts w:eastAsia="Lucida Sans Unicode" w:cs="Arial"/>
          <w:iCs/>
        </w:rPr>
      </w:pPr>
      <w:r w:rsidRPr="000C3B8C">
        <w:rPr>
          <w:rFonts w:eastAsia="Lucida Sans Unicode" w:cs="Arial"/>
          <w:iCs/>
        </w:rPr>
        <w:t>Potrzeby sanitarne ekip budowlanych i osób przebywających na terenie budowy zabezpieczyć poprzez ustawienie przenośnych sanitariatów (sanitariaty powinny posiadać szczelne zbiorniki na ścieki) opróżnianych przez wyspecjalizowane firmy.</w:t>
      </w:r>
    </w:p>
    <w:p w:rsidR="00627161" w:rsidRPr="00C05A0A" w:rsidRDefault="00627161" w:rsidP="00627161">
      <w:pPr>
        <w:widowControl/>
        <w:numPr>
          <w:ilvl w:val="0"/>
          <w:numId w:val="31"/>
        </w:numPr>
        <w:suppressAutoHyphens w:val="0"/>
        <w:autoSpaceDN/>
        <w:spacing w:after="4" w:line="252" w:lineRule="auto"/>
        <w:ind w:right="52"/>
        <w:jc w:val="both"/>
        <w:textAlignment w:val="auto"/>
        <w:rPr>
          <w:rFonts w:ascii="Times New Roman" w:eastAsia="Lucida Sans Unicode" w:hAnsi="Times New Roman" w:cs="Arial"/>
          <w:iCs/>
          <w:sz w:val="24"/>
          <w:szCs w:val="24"/>
          <w:lang w:eastAsia="pl-PL"/>
        </w:rPr>
      </w:pPr>
      <w:r w:rsidRPr="00C05A0A">
        <w:rPr>
          <w:rFonts w:ascii="Times New Roman" w:eastAsia="Lucida Sans Unicode" w:hAnsi="Times New Roman" w:cs="Arial"/>
          <w:iCs/>
          <w:sz w:val="24"/>
          <w:szCs w:val="24"/>
          <w:lang w:eastAsia="pl-PL"/>
        </w:rPr>
        <w:t>Odpady powstające na wszystkich etapach przedsięwzięcia gromadzić selektywnie w wydzielonych i przystosowanych do tego miejscach, w warunkach zabezpieczających przed przedostaniem się do środowiska substancji szkodliwych oraz zapewnić ich regularny odbiór przez uprawnione firmy oraz zagospodarować zgodnie z przepisami prawa.</w:t>
      </w:r>
    </w:p>
    <w:p w:rsidR="00627161" w:rsidRPr="00C05A0A" w:rsidRDefault="00627161" w:rsidP="00627161">
      <w:pPr>
        <w:widowControl/>
        <w:numPr>
          <w:ilvl w:val="0"/>
          <w:numId w:val="31"/>
        </w:numPr>
        <w:suppressAutoHyphens w:val="0"/>
        <w:autoSpaceDN/>
        <w:spacing w:after="111" w:line="252" w:lineRule="auto"/>
        <w:ind w:right="52"/>
        <w:jc w:val="both"/>
        <w:textAlignment w:val="auto"/>
        <w:rPr>
          <w:rFonts w:ascii="Times New Roman" w:eastAsia="Lucida Sans Unicode" w:hAnsi="Times New Roman" w:cs="Arial"/>
          <w:iCs/>
          <w:sz w:val="24"/>
          <w:szCs w:val="24"/>
          <w:lang w:eastAsia="pl-PL"/>
        </w:rPr>
      </w:pPr>
      <w:r w:rsidRPr="00C05A0A">
        <w:rPr>
          <w:rFonts w:ascii="Times New Roman" w:eastAsia="Lucida Sans Unicode" w:hAnsi="Times New Roman" w:cs="Arial"/>
          <w:iCs/>
          <w:sz w:val="24"/>
          <w:szCs w:val="24"/>
          <w:lang w:eastAsia="pl-PL"/>
        </w:rPr>
        <w:t>W przypadku montażu transformatorów olejowych wyposażyć stację transformatorową w szczelne misy mogące pomieścić 110% zawartości oleju, zapewniające zatrzymanie wszelkich wycieków oraz uniemożliwiające przedostawanie się zanieczyszczeń do środowiska gruntowo-wodnego.</w:t>
      </w:r>
    </w:p>
    <w:p w:rsidR="00627161" w:rsidRPr="00C05A0A" w:rsidRDefault="00627161" w:rsidP="00627161">
      <w:pPr>
        <w:widowControl/>
        <w:numPr>
          <w:ilvl w:val="0"/>
          <w:numId w:val="31"/>
        </w:numPr>
        <w:suppressAutoHyphens w:val="0"/>
        <w:autoSpaceDN/>
        <w:spacing w:after="4" w:line="252" w:lineRule="auto"/>
        <w:ind w:right="52"/>
        <w:jc w:val="both"/>
        <w:textAlignment w:val="auto"/>
        <w:rPr>
          <w:rFonts w:ascii="Times New Roman" w:eastAsia="Lucida Sans Unicode" w:hAnsi="Times New Roman" w:cs="Arial"/>
          <w:iCs/>
          <w:sz w:val="24"/>
          <w:szCs w:val="24"/>
          <w:lang w:eastAsia="pl-PL"/>
        </w:rPr>
      </w:pPr>
      <w:r w:rsidRPr="00C05A0A">
        <w:rPr>
          <w:rFonts w:ascii="Times New Roman" w:eastAsia="Lucida Sans Unicode" w:hAnsi="Times New Roman" w:cs="Arial"/>
          <w:iCs/>
          <w:sz w:val="24"/>
          <w:szCs w:val="24"/>
          <w:lang w:eastAsia="pl-PL"/>
        </w:rPr>
        <w:t>Wody opadowe lub roztopowe odprowadzać do gruntu w sposób niepowodujący szkód na terenach sąsiednich.</w:t>
      </w:r>
    </w:p>
    <w:p w:rsidR="00627161" w:rsidRPr="00C05A0A" w:rsidRDefault="00627161" w:rsidP="00627161">
      <w:pPr>
        <w:widowControl/>
        <w:numPr>
          <w:ilvl w:val="0"/>
          <w:numId w:val="31"/>
        </w:numPr>
        <w:suppressAutoHyphens w:val="0"/>
        <w:autoSpaceDN/>
        <w:spacing w:after="40" w:line="252" w:lineRule="auto"/>
        <w:ind w:right="52"/>
        <w:jc w:val="both"/>
        <w:textAlignment w:val="auto"/>
        <w:rPr>
          <w:rFonts w:ascii="Times New Roman" w:eastAsia="Lucida Sans Unicode" w:hAnsi="Times New Roman" w:cs="Arial"/>
          <w:iCs/>
          <w:sz w:val="24"/>
          <w:szCs w:val="24"/>
          <w:lang w:eastAsia="pl-PL"/>
        </w:rPr>
      </w:pPr>
      <w:r w:rsidRPr="00C05A0A">
        <w:rPr>
          <w:rFonts w:ascii="Times New Roman" w:eastAsia="Lucida Sans Unicode" w:hAnsi="Times New Roman" w:cs="Arial"/>
          <w:iCs/>
          <w:sz w:val="24"/>
          <w:szCs w:val="24"/>
          <w:lang w:eastAsia="pl-PL"/>
        </w:rPr>
        <w:t>W fazie budowy inwestycji należy zachować szczególną ostrożność, aby nie uszkodzić urządzeń wodnych i melioracyjnych. W przypadku uszkodzenia urządzeń drenarskich inwestor zobligowany jest do pokrycia lub naprawy zaistniałych szkód. W przypadku konieczności budowy, przebudowy bądź likwidacji urządzeń należy uzyskać stosowne pozwolenie wodnoprawne.</w:t>
      </w:r>
    </w:p>
    <w:p w:rsidR="00627161" w:rsidRPr="00C05A0A" w:rsidRDefault="00627161" w:rsidP="00627161">
      <w:pPr>
        <w:widowControl/>
        <w:numPr>
          <w:ilvl w:val="0"/>
          <w:numId w:val="31"/>
        </w:numPr>
        <w:suppressAutoHyphens w:val="0"/>
        <w:autoSpaceDN/>
        <w:spacing w:after="385" w:line="252" w:lineRule="auto"/>
        <w:ind w:right="52"/>
        <w:jc w:val="both"/>
        <w:textAlignment w:val="auto"/>
        <w:rPr>
          <w:rFonts w:ascii="Times New Roman" w:eastAsia="Lucida Sans Unicode" w:hAnsi="Times New Roman" w:cs="Arial"/>
          <w:iCs/>
          <w:sz w:val="24"/>
          <w:szCs w:val="24"/>
          <w:lang w:eastAsia="pl-PL"/>
        </w:rPr>
      </w:pPr>
      <w:r w:rsidRPr="00C05A0A">
        <w:rPr>
          <w:rFonts w:ascii="Times New Roman" w:eastAsia="Lucida Sans Unicode" w:hAnsi="Times New Roman" w:cs="Arial"/>
          <w:iCs/>
          <w:sz w:val="24"/>
          <w:szCs w:val="24"/>
          <w:lang w:eastAsia="pl-PL"/>
        </w:rPr>
        <w:t>Zakaz dokonywania zmian stosunków wodnych na dzia</w:t>
      </w:r>
      <w:r w:rsidRPr="00C05A0A">
        <w:rPr>
          <w:rFonts w:ascii="Times New Roman" w:eastAsia="Lucida Sans Unicode" w:hAnsi="Times New Roman" w:cs="Arial"/>
          <w:iCs/>
          <w:sz w:val="24"/>
          <w:szCs w:val="24"/>
          <w:lang w:eastAsia="pl-PL"/>
        </w:rPr>
        <w:t>ł</w:t>
      </w:r>
      <w:r w:rsidRPr="00C05A0A">
        <w:rPr>
          <w:rFonts w:ascii="Times New Roman" w:eastAsia="Lucida Sans Unicode" w:hAnsi="Times New Roman" w:cs="Arial"/>
          <w:iCs/>
          <w:sz w:val="24"/>
          <w:szCs w:val="24"/>
          <w:lang w:eastAsia="pl-PL"/>
        </w:rPr>
        <w:t>kach objętych inwestycją.</w:t>
      </w:r>
    </w:p>
    <w:p w:rsidR="00ED7026" w:rsidRDefault="00ED7026">
      <w:pPr>
        <w:pStyle w:val="Standard"/>
        <w:tabs>
          <w:tab w:val="left" w:pos="1418"/>
        </w:tabs>
        <w:autoSpaceDE w:val="0"/>
        <w:spacing w:after="0" w:line="240" w:lineRule="auto"/>
        <w:ind w:left="851" w:hanging="425"/>
        <w:jc w:val="both"/>
        <w:rPr>
          <w:rFonts w:ascii="Arial" w:hAnsi="Arial" w:cs="Arial"/>
          <w:b/>
          <w:color w:val="00000A"/>
          <w:sz w:val="24"/>
          <w:szCs w:val="24"/>
          <w:u w:val="single"/>
        </w:rPr>
      </w:pPr>
    </w:p>
    <w:p w:rsidR="00ED7026" w:rsidRDefault="00D154C4">
      <w:pPr>
        <w:pStyle w:val="Nagwek2"/>
        <w:spacing w:before="0" w:after="200"/>
        <w:jc w:val="center"/>
        <w:rPr>
          <w:rFonts w:ascii="Times New Roman" w:hAnsi="Times New Roman" w:cs="Arial"/>
          <w:color w:val="00000A"/>
          <w:sz w:val="24"/>
          <w:szCs w:val="24"/>
        </w:rPr>
      </w:pPr>
      <w:r>
        <w:rPr>
          <w:rFonts w:ascii="Times New Roman" w:hAnsi="Times New Roman" w:cs="Arial"/>
          <w:color w:val="00000A"/>
          <w:sz w:val="24"/>
          <w:szCs w:val="24"/>
        </w:rPr>
        <w:t>UZASADNIENIE</w:t>
      </w:r>
    </w:p>
    <w:p w:rsidR="00ED7026" w:rsidRDefault="00ED7026">
      <w:pPr>
        <w:pStyle w:val="Standard"/>
        <w:spacing w:after="0"/>
        <w:rPr>
          <w:rFonts w:ascii="Arial" w:hAnsi="Arial" w:cs="Arial"/>
          <w:sz w:val="24"/>
          <w:szCs w:val="24"/>
        </w:rPr>
      </w:pPr>
    </w:p>
    <w:p w:rsidR="00627161" w:rsidRPr="00627161" w:rsidRDefault="00D154C4" w:rsidP="00627161">
      <w:pPr>
        <w:pStyle w:val="Standard"/>
        <w:ind w:left="284"/>
        <w:jc w:val="both"/>
        <w:rPr>
          <w:rFonts w:ascii="Times New Roman" w:hAnsi="Times New Roman"/>
          <w:sz w:val="24"/>
          <w:szCs w:val="24"/>
        </w:rPr>
      </w:pPr>
      <w:r>
        <w:rPr>
          <w:rFonts w:ascii="Times New Roman" w:hAnsi="Times New Roman"/>
          <w:sz w:val="24"/>
          <w:szCs w:val="24"/>
        </w:rPr>
        <w:tab/>
      </w:r>
      <w:r w:rsidR="00627161" w:rsidRPr="00627161">
        <w:rPr>
          <w:rFonts w:ascii="Times New Roman" w:hAnsi="Times New Roman"/>
          <w:sz w:val="24"/>
          <w:szCs w:val="24"/>
        </w:rPr>
        <w:t>W dniu 24 września 2021 r. wpłynął do Urzędu Gminy Tuplice wniosek Pana Patryka Rakowskiego</w:t>
      </w:r>
      <w:r w:rsidR="00627161">
        <w:rPr>
          <w:rFonts w:ascii="Times New Roman" w:hAnsi="Times New Roman"/>
          <w:sz w:val="24"/>
          <w:szCs w:val="24"/>
        </w:rPr>
        <w:t xml:space="preserve"> – </w:t>
      </w:r>
      <w:proofErr w:type="spellStart"/>
      <w:r w:rsidR="00627161">
        <w:rPr>
          <w:rFonts w:ascii="Times New Roman" w:hAnsi="Times New Roman"/>
          <w:sz w:val="24"/>
          <w:szCs w:val="24"/>
        </w:rPr>
        <w:t>Fotowoltaika</w:t>
      </w:r>
      <w:proofErr w:type="spellEnd"/>
      <w:r w:rsidR="00627161">
        <w:rPr>
          <w:rFonts w:ascii="Times New Roman" w:hAnsi="Times New Roman"/>
          <w:sz w:val="24"/>
          <w:szCs w:val="24"/>
        </w:rPr>
        <w:t xml:space="preserve"> Ochrona Środowiska ul. Reymonta  43 89-100 Nakło nad Notecią</w:t>
      </w:r>
      <w:r w:rsidR="00627161" w:rsidRPr="00627161">
        <w:rPr>
          <w:rFonts w:ascii="Times New Roman" w:hAnsi="Times New Roman"/>
          <w:sz w:val="24"/>
          <w:szCs w:val="24"/>
        </w:rPr>
        <w:t xml:space="preserve">– </w:t>
      </w:r>
      <w:r w:rsidR="00627161" w:rsidRPr="00627161">
        <w:rPr>
          <w:rFonts w:ascii="Times New Roman" w:hAnsi="Times New Roman"/>
          <w:sz w:val="24"/>
          <w:szCs w:val="24"/>
        </w:rPr>
        <w:lastRenderedPageBreak/>
        <w:t>Pełnomocnika</w:t>
      </w:r>
      <w:r w:rsidR="00627161">
        <w:rPr>
          <w:rFonts w:ascii="Times New Roman" w:hAnsi="Times New Roman"/>
          <w:sz w:val="24"/>
          <w:szCs w:val="24"/>
        </w:rPr>
        <w:t xml:space="preserve"> inwestora</w:t>
      </w:r>
      <w:r w:rsidR="00627161" w:rsidRPr="00627161">
        <w:rPr>
          <w:rFonts w:ascii="Times New Roman" w:hAnsi="Times New Roman"/>
          <w:sz w:val="24"/>
          <w:szCs w:val="24"/>
        </w:rPr>
        <w:t xml:space="preserve"> Votum Green Project S. A., ul. Wyścigowa 56i, 53-012 Wrocław, adres do korespondencji ul. Potulicka 1a/15, 89-100 Nakło nad Notecią w sprawie wydania decyzji o środowiskowych uwarunkowaniach dla przedsięwzięcia polegającego na</w:t>
      </w:r>
      <w:r w:rsidR="00050FF1">
        <w:rPr>
          <w:rFonts w:ascii="Times New Roman" w:hAnsi="Times New Roman"/>
          <w:sz w:val="24"/>
          <w:szCs w:val="24"/>
        </w:rPr>
        <w:t>:</w:t>
      </w:r>
      <w:r w:rsidR="00627161" w:rsidRPr="00627161">
        <w:rPr>
          <w:rFonts w:ascii="Times New Roman" w:hAnsi="Times New Roman"/>
          <w:sz w:val="24"/>
          <w:szCs w:val="24"/>
        </w:rPr>
        <w:t xml:space="preserve"> </w:t>
      </w:r>
      <w:bookmarkStart w:id="1" w:name="_Hlk110421586"/>
      <w:r w:rsidR="00627161" w:rsidRPr="00627161">
        <w:rPr>
          <w:rFonts w:ascii="Times New Roman" w:hAnsi="Times New Roman"/>
          <w:sz w:val="24"/>
          <w:szCs w:val="24"/>
        </w:rPr>
        <w:t>Budowie instalacji fotowoltaicznej o mocy do 3 MW na działkach nr 188/1,188/2, 189,190/3, 193, obręb 0013 Tuplice, gmina Tuplice.</w:t>
      </w:r>
      <w:bookmarkEnd w:id="1"/>
      <w:r w:rsidR="00627161" w:rsidRPr="00627161">
        <w:rPr>
          <w:rFonts w:ascii="Times New Roman" w:hAnsi="Times New Roman"/>
          <w:sz w:val="24"/>
          <w:szCs w:val="24"/>
        </w:rPr>
        <w:t xml:space="preserve"> Na podstawie przedłożonych dokumentów ustalono, iż zgodnie z § 3 ust. 1 pkt. 54 lit. a rozporządzenia Rady Ministrów z dnia 10 września 2019 r. w sprawie przedsięwzięć mogących znacząco oddziaływać na środowisko (Dz. U. z 2019, poz. 1839) – przedmiotowa inwestycja polegająca na budowie elektrowni fotowoltaicznej o mocy do 3 MW na działkach nr 188/1,188/2, 189,190/3, 193, obręb 0013 Tuplice, gmina Tuplice. zalicza się do inwestycji mogącej potencjalnie znacząco oddziaływać na środowisko, dla której sporządzenie raportu może być wymagane. Przedsięwzięcie będzie bowiem usytuowane w granicach Parku Krajobrazowego Łuk Mużakowa utworzonego na podstawie Rozporządzenia nr 20 Wojewody Lubuskiego z dnia 27 września 2001 r. w sprawie utworzenia Parku Krajobrazowego o nazwie Łuk Mużakowa. Szczegółowe informacje na temat wskazanej powyżej formy ochrony przyrody wskazano w rozdziale 11 niniejszego dokumentu. Zgodnie z art. 63 ust. 1 ustawy o udostępnianiu informacji o środowisku i jego ochronie, udziale społeczeństwa w ochronie środowiska oraz o ocenach oddziaływania na środowisko obowiązek przeprowadzenia oceny oddziaływania przedsięwzięcia na środowisko dla planowanego przedsięwzięcia mogącego potencjalnie znacząco oddziaływać na środowisko stwierdza, w drodze postanowienia, organ właściwy do wydania decyzji o środowiskowych uwarunkowaniach po zasięgnięciu opinii Regionalnego Dyrektora Ochrony Środowiska, oraz Dyrektora Zarządu Zlewni w Zgorzelcu Państwowego Gospodarstwa Wodnego Wody Polskie i Państwowego Powiatowego Inspektora Sanitarnego w Żarach.</w:t>
      </w:r>
    </w:p>
    <w:p w:rsidR="00627161" w:rsidRPr="00627161" w:rsidRDefault="00627161" w:rsidP="00627161">
      <w:pPr>
        <w:pStyle w:val="Standard"/>
        <w:ind w:left="284"/>
        <w:jc w:val="both"/>
        <w:rPr>
          <w:rFonts w:ascii="Times New Roman" w:hAnsi="Times New Roman"/>
          <w:sz w:val="24"/>
          <w:szCs w:val="24"/>
        </w:rPr>
      </w:pPr>
      <w:r w:rsidRPr="00627161">
        <w:rPr>
          <w:rFonts w:ascii="Times New Roman" w:hAnsi="Times New Roman"/>
          <w:sz w:val="24"/>
          <w:szCs w:val="24"/>
        </w:rPr>
        <w:t>Wypełniając dyspozycję art. 64 ust. 1 ustawy OOŚ organ Gminy wystąpił w dniu 29.09.2021 r. pismem znak OSII.6220.2.2021.KK do Regionalnego Dyrektora Ochrony Środowiska w Gorzowie Wielkopolskim, Dyrektora Zarządu Zlewni w Zgorzelcu Państwowego Gospodarstwa Wodnego Wody Polskie i Państwowego Powiatowego Inspektora Sanitarnego w Żarach z wnioskiem dotyczącym wydania opinii co do potrzeby przeprowadzenia oceny oddziaływania przedsięwzięcia na środowisko i ewentualnego zakresu raportu o oddziaływaniu na środowisko dla przedmiotowego przedsięwzięcia.</w:t>
      </w:r>
    </w:p>
    <w:p w:rsidR="00627161" w:rsidRPr="00627161" w:rsidRDefault="00627161" w:rsidP="00627161">
      <w:pPr>
        <w:pStyle w:val="Standard"/>
        <w:ind w:left="284"/>
        <w:jc w:val="both"/>
        <w:rPr>
          <w:rFonts w:ascii="Times New Roman" w:hAnsi="Times New Roman"/>
          <w:sz w:val="24"/>
          <w:szCs w:val="24"/>
        </w:rPr>
      </w:pPr>
      <w:r w:rsidRPr="00627161">
        <w:rPr>
          <w:rFonts w:ascii="Times New Roman" w:hAnsi="Times New Roman"/>
          <w:sz w:val="24"/>
          <w:szCs w:val="24"/>
        </w:rPr>
        <w:t>Regionalny Dyrektor Ochrony Środowiska w Gorzowie Wielkopolskim w piśmie znak WZŚ.4220.756.2021.DM z dnia 18.10.2021 r. (data wpływu 19.10.2021 r.) wyraził opinię, że dla przedmiotowego przedsięwzięcia istnieje konieczność przeprowadzenia oceny oddziaływania na środowisko ustalając jednocześnie zakres raportu o oddziaływaniu przedsięwzięcia na środowisko zgodny z art. 66 ustawy OOŚ.</w:t>
      </w:r>
    </w:p>
    <w:p w:rsidR="00627161" w:rsidRPr="00627161" w:rsidRDefault="00627161" w:rsidP="00627161">
      <w:pPr>
        <w:pStyle w:val="Standard"/>
        <w:ind w:left="284"/>
        <w:jc w:val="both"/>
        <w:rPr>
          <w:rFonts w:ascii="Times New Roman" w:hAnsi="Times New Roman"/>
          <w:sz w:val="24"/>
          <w:szCs w:val="24"/>
        </w:rPr>
      </w:pPr>
      <w:r w:rsidRPr="00627161">
        <w:rPr>
          <w:rFonts w:ascii="Times New Roman" w:hAnsi="Times New Roman"/>
          <w:sz w:val="24"/>
          <w:szCs w:val="24"/>
        </w:rPr>
        <w:t>Dyrektor Zarządu Zlewni w Zgorzelcu Państwowego Gospodarstwa Wodnego Wody Polskie w piśmie znak: WR.ZZŚ.6.435.68.2021.KS z dnia 22.10.2021r. wydał opinie o braku konieczności przeprowadzenia oceny oddziaływania na środowisko.</w:t>
      </w:r>
    </w:p>
    <w:p w:rsidR="00627161" w:rsidRPr="00627161" w:rsidRDefault="00627161" w:rsidP="00627161">
      <w:pPr>
        <w:pStyle w:val="Standard"/>
        <w:ind w:left="284"/>
        <w:jc w:val="both"/>
        <w:rPr>
          <w:rFonts w:ascii="Times New Roman" w:hAnsi="Times New Roman"/>
          <w:sz w:val="24"/>
          <w:szCs w:val="24"/>
        </w:rPr>
      </w:pPr>
      <w:r w:rsidRPr="00627161">
        <w:rPr>
          <w:rFonts w:ascii="Times New Roman" w:hAnsi="Times New Roman"/>
          <w:sz w:val="24"/>
          <w:szCs w:val="24"/>
        </w:rPr>
        <w:t xml:space="preserve">  Państwowy Powiatowy Inspektor Sanitarny w Żarach w piśmie znak NZ.9022.2.287.2021 z dnia 11.10.2021r. wydał opinie o braku konieczności przeprowadzenia oceny oddziaływania na środowisko.</w:t>
      </w:r>
    </w:p>
    <w:p w:rsidR="00627161" w:rsidRPr="00627161" w:rsidRDefault="00627161" w:rsidP="00627161">
      <w:pPr>
        <w:pStyle w:val="Standard"/>
        <w:ind w:left="284"/>
        <w:jc w:val="both"/>
        <w:rPr>
          <w:rFonts w:ascii="Times New Roman" w:hAnsi="Times New Roman"/>
          <w:sz w:val="24"/>
          <w:szCs w:val="24"/>
        </w:rPr>
      </w:pPr>
      <w:r w:rsidRPr="00627161">
        <w:rPr>
          <w:rFonts w:ascii="Times New Roman" w:hAnsi="Times New Roman"/>
          <w:sz w:val="24"/>
          <w:szCs w:val="24"/>
        </w:rPr>
        <w:t xml:space="preserve">Biorąc pod uwagę otrzymaną opinie oraz po przeprowadzeniu analizy dostarczonych wraz z wnioskiem materiałów, Wójt Gminy Tuplice postanowieniem znak OSII.6220.2.2021.KK z dnia </w:t>
      </w:r>
      <w:r w:rsidRPr="00627161">
        <w:rPr>
          <w:rFonts w:ascii="Times New Roman" w:hAnsi="Times New Roman"/>
          <w:sz w:val="24"/>
          <w:szCs w:val="24"/>
        </w:rPr>
        <w:lastRenderedPageBreak/>
        <w:t>03.11.2021r. nałożył na wnioskodawcę obowiązek przeprowadzenia oceny oddziaływania na środowisko i sporządzenie raportu oddziaływania na środowisko zgodnie z art. 66 wyżej cytowanej ustawy OOŚ.</w:t>
      </w:r>
    </w:p>
    <w:p w:rsidR="00050FF1" w:rsidRDefault="00627161" w:rsidP="00050FF1">
      <w:pPr>
        <w:pStyle w:val="Standard"/>
        <w:ind w:left="284"/>
        <w:jc w:val="both"/>
        <w:rPr>
          <w:rFonts w:ascii="Times New Roman" w:hAnsi="Times New Roman" w:cs="Arial"/>
          <w:color w:val="000000"/>
          <w:sz w:val="24"/>
          <w:szCs w:val="24"/>
        </w:rPr>
      </w:pPr>
      <w:r w:rsidRPr="00627161">
        <w:rPr>
          <w:rFonts w:ascii="Times New Roman" w:hAnsi="Times New Roman"/>
          <w:sz w:val="24"/>
          <w:szCs w:val="24"/>
        </w:rPr>
        <w:t>W dniu 28 czerwca 2022 r. Pan Patryk Rakowski pełnomocnik Votum Green Project S. A., ul. Wyścigowa 56i, 53-012 Wrocław, adres do korespondencji ul. Potulicka 1a/15, 89-100 Nakło nad Notecią przedłożył Wójt</w:t>
      </w:r>
      <w:r>
        <w:rPr>
          <w:rFonts w:ascii="Times New Roman" w:hAnsi="Times New Roman"/>
          <w:sz w:val="24"/>
          <w:szCs w:val="24"/>
        </w:rPr>
        <w:t>owi</w:t>
      </w:r>
      <w:r w:rsidRPr="00627161">
        <w:rPr>
          <w:rFonts w:ascii="Times New Roman" w:hAnsi="Times New Roman"/>
          <w:sz w:val="24"/>
          <w:szCs w:val="24"/>
        </w:rPr>
        <w:t xml:space="preserve"> Gminy Tuplice raport oddziaływania na środowisko dla w/w przedsięwzięcia.</w:t>
      </w:r>
      <w:r>
        <w:rPr>
          <w:rFonts w:ascii="Times New Roman" w:hAnsi="Times New Roman"/>
          <w:sz w:val="24"/>
          <w:szCs w:val="24"/>
        </w:rPr>
        <w:t xml:space="preserve"> </w:t>
      </w:r>
      <w:r w:rsidR="00D154C4">
        <w:rPr>
          <w:rFonts w:ascii="Times New Roman" w:hAnsi="Times New Roman" w:cs="Arial"/>
          <w:color w:val="000000"/>
          <w:sz w:val="24"/>
          <w:szCs w:val="24"/>
        </w:rPr>
        <w:t xml:space="preserve">W terminie 21 dni od ogłoszenia obwieszczenia nie wpłynęły żadne uwagi lub wnioski do raportu. Pismem z dnia </w:t>
      </w:r>
      <w:r>
        <w:rPr>
          <w:rFonts w:ascii="Times New Roman" w:hAnsi="Times New Roman" w:cs="Arial"/>
          <w:color w:val="000000"/>
          <w:sz w:val="24"/>
          <w:szCs w:val="24"/>
        </w:rPr>
        <w:t>29</w:t>
      </w:r>
      <w:r w:rsidR="00D154C4">
        <w:rPr>
          <w:rFonts w:ascii="Times New Roman" w:hAnsi="Times New Roman" w:cs="Arial"/>
          <w:color w:val="000000"/>
          <w:sz w:val="24"/>
          <w:szCs w:val="24"/>
        </w:rPr>
        <w:t xml:space="preserve"> </w:t>
      </w:r>
      <w:r>
        <w:rPr>
          <w:rFonts w:ascii="Times New Roman" w:hAnsi="Times New Roman" w:cs="Arial"/>
          <w:color w:val="000000"/>
          <w:sz w:val="24"/>
          <w:szCs w:val="24"/>
        </w:rPr>
        <w:t>czerwca</w:t>
      </w:r>
      <w:r w:rsidR="00D154C4">
        <w:rPr>
          <w:rFonts w:ascii="Times New Roman" w:hAnsi="Times New Roman" w:cs="Arial"/>
          <w:color w:val="000000"/>
          <w:sz w:val="24"/>
          <w:szCs w:val="24"/>
        </w:rPr>
        <w:t xml:space="preserve"> 202</w:t>
      </w:r>
      <w:r>
        <w:rPr>
          <w:rFonts w:ascii="Times New Roman" w:hAnsi="Times New Roman" w:cs="Arial"/>
          <w:color w:val="000000"/>
          <w:sz w:val="24"/>
          <w:szCs w:val="24"/>
        </w:rPr>
        <w:t>2</w:t>
      </w:r>
      <w:r w:rsidR="00D154C4">
        <w:rPr>
          <w:rFonts w:ascii="Times New Roman" w:hAnsi="Times New Roman" w:cs="Arial"/>
          <w:color w:val="000000"/>
          <w:sz w:val="24"/>
          <w:szCs w:val="24"/>
        </w:rPr>
        <w:t xml:space="preserve"> r. znak:OSII.6220.</w:t>
      </w:r>
      <w:r w:rsidR="00C05A0A">
        <w:rPr>
          <w:rFonts w:ascii="Times New Roman" w:hAnsi="Times New Roman" w:cs="Arial"/>
          <w:color w:val="000000"/>
          <w:sz w:val="24"/>
          <w:szCs w:val="24"/>
        </w:rPr>
        <w:t>2</w:t>
      </w:r>
      <w:r w:rsidR="00D154C4">
        <w:rPr>
          <w:rFonts w:ascii="Times New Roman" w:hAnsi="Times New Roman" w:cs="Arial"/>
          <w:color w:val="000000"/>
          <w:sz w:val="24"/>
          <w:szCs w:val="24"/>
        </w:rPr>
        <w:t>.202</w:t>
      </w:r>
      <w:r w:rsidR="00C05A0A">
        <w:rPr>
          <w:rFonts w:ascii="Times New Roman" w:hAnsi="Times New Roman" w:cs="Arial"/>
          <w:color w:val="000000"/>
          <w:sz w:val="24"/>
          <w:szCs w:val="24"/>
        </w:rPr>
        <w:t>1</w:t>
      </w:r>
      <w:r w:rsidR="00D154C4">
        <w:rPr>
          <w:rFonts w:ascii="Times New Roman" w:hAnsi="Times New Roman" w:cs="Arial"/>
          <w:color w:val="000000"/>
          <w:sz w:val="24"/>
          <w:szCs w:val="24"/>
        </w:rPr>
        <w:t>.KK Wójt Gminy Tuplice przekazał do Regionalnej Dyrekcji Ochrony Środowiska w Gorzowie Wlkp</w:t>
      </w:r>
      <w:r w:rsidR="00D154C4">
        <w:rPr>
          <w:rFonts w:ascii="Times New Roman" w:hAnsi="Times New Roman" w:cs="Arial"/>
          <w:color w:val="000000"/>
          <w:sz w:val="24"/>
          <w:szCs w:val="24"/>
        </w:rPr>
        <w:t xml:space="preserve">. do uzgodnienia wniosek o wydanie decyzji o środowiskowych uwarunkowaniach wraz z raportem. W dniu </w:t>
      </w:r>
      <w:r w:rsidR="00C05A0A">
        <w:rPr>
          <w:rFonts w:ascii="Times New Roman" w:hAnsi="Times New Roman" w:cs="Arial"/>
          <w:color w:val="000000"/>
          <w:sz w:val="24"/>
          <w:szCs w:val="24"/>
        </w:rPr>
        <w:t>2</w:t>
      </w:r>
      <w:r w:rsidR="00D154C4">
        <w:rPr>
          <w:rFonts w:ascii="Times New Roman" w:hAnsi="Times New Roman" w:cs="Arial"/>
          <w:color w:val="000000"/>
          <w:sz w:val="24"/>
          <w:szCs w:val="24"/>
        </w:rPr>
        <w:t xml:space="preserve"> </w:t>
      </w:r>
      <w:r w:rsidR="00C05A0A">
        <w:rPr>
          <w:rFonts w:ascii="Times New Roman" w:hAnsi="Times New Roman" w:cs="Arial"/>
          <w:color w:val="000000"/>
          <w:sz w:val="24"/>
          <w:szCs w:val="24"/>
        </w:rPr>
        <w:t>sierpnia</w:t>
      </w:r>
      <w:r w:rsidR="00D154C4">
        <w:rPr>
          <w:rFonts w:ascii="Times New Roman" w:hAnsi="Times New Roman" w:cs="Arial"/>
          <w:color w:val="000000"/>
          <w:sz w:val="24"/>
          <w:szCs w:val="24"/>
        </w:rPr>
        <w:t xml:space="preserve"> 202</w:t>
      </w:r>
      <w:r w:rsidR="00C05A0A">
        <w:rPr>
          <w:rFonts w:ascii="Times New Roman" w:hAnsi="Times New Roman" w:cs="Arial"/>
          <w:color w:val="000000"/>
          <w:sz w:val="24"/>
          <w:szCs w:val="24"/>
        </w:rPr>
        <w:t>2</w:t>
      </w:r>
      <w:r w:rsidR="00D154C4">
        <w:rPr>
          <w:rFonts w:ascii="Times New Roman" w:hAnsi="Times New Roman" w:cs="Arial"/>
          <w:color w:val="000000"/>
          <w:sz w:val="24"/>
          <w:szCs w:val="24"/>
        </w:rPr>
        <w:t xml:space="preserve"> r. wpłynęło do Urzędu gminy Tuplice postanowienie Regionalnego Dyrektora Ochrony Środowiska w Gorzowie Wielkopolskim znak: WZŚ.4221.</w:t>
      </w:r>
      <w:r w:rsidR="00C05A0A">
        <w:rPr>
          <w:rFonts w:ascii="Times New Roman" w:hAnsi="Times New Roman" w:cs="Arial"/>
          <w:color w:val="000000"/>
          <w:sz w:val="24"/>
          <w:szCs w:val="24"/>
        </w:rPr>
        <w:t>120</w:t>
      </w:r>
      <w:r w:rsidR="00D154C4">
        <w:rPr>
          <w:rFonts w:ascii="Times New Roman" w:hAnsi="Times New Roman" w:cs="Arial"/>
          <w:color w:val="000000"/>
          <w:sz w:val="24"/>
          <w:szCs w:val="24"/>
        </w:rPr>
        <w:t>.202</w:t>
      </w:r>
      <w:r w:rsidR="00C05A0A">
        <w:rPr>
          <w:rFonts w:ascii="Times New Roman" w:hAnsi="Times New Roman" w:cs="Arial"/>
          <w:color w:val="000000"/>
          <w:sz w:val="24"/>
          <w:szCs w:val="24"/>
        </w:rPr>
        <w:t>2</w:t>
      </w:r>
      <w:r w:rsidR="00D154C4">
        <w:rPr>
          <w:rFonts w:ascii="Times New Roman" w:hAnsi="Times New Roman" w:cs="Arial"/>
          <w:color w:val="000000"/>
          <w:sz w:val="24"/>
          <w:szCs w:val="24"/>
        </w:rPr>
        <w:t>.</w:t>
      </w:r>
      <w:r w:rsidR="00D154C4">
        <w:rPr>
          <w:rFonts w:ascii="Times New Roman" w:hAnsi="Times New Roman" w:cs="Arial"/>
          <w:color w:val="000000"/>
          <w:sz w:val="24"/>
          <w:szCs w:val="24"/>
        </w:rPr>
        <w:t xml:space="preserve">DB w sprawie uzgodnienia realizacji przedsięwzięcia polegającego na </w:t>
      </w:r>
      <w:r w:rsidR="00050FF1" w:rsidRPr="00050FF1">
        <w:rPr>
          <w:rFonts w:ascii="Times New Roman" w:hAnsi="Times New Roman" w:cs="Arial"/>
          <w:color w:val="000000"/>
          <w:sz w:val="24"/>
          <w:szCs w:val="24"/>
        </w:rPr>
        <w:t>Budowie instalacji fotowoltaicznej o mocy do 3 MW na działkach nr 188/1,188/2, 189,190/3, 193, obręb 0013 Tuplice, gmina Tuplice</w:t>
      </w:r>
      <w:r w:rsidR="00D154C4">
        <w:rPr>
          <w:rFonts w:ascii="Times New Roman" w:hAnsi="Times New Roman" w:cs="Arial"/>
          <w:color w:val="000000"/>
          <w:sz w:val="24"/>
          <w:szCs w:val="24"/>
        </w:rPr>
        <w:t>.</w:t>
      </w:r>
    </w:p>
    <w:p w:rsidR="00ED7026" w:rsidRPr="00050FF1" w:rsidRDefault="00050FF1" w:rsidP="00050FF1">
      <w:pPr>
        <w:pStyle w:val="Standard"/>
        <w:ind w:left="284"/>
        <w:jc w:val="both"/>
        <w:rPr>
          <w:rFonts w:ascii="Times New Roman" w:hAnsi="Times New Roman" w:cs="Times New Roman"/>
          <w:sz w:val="24"/>
          <w:szCs w:val="24"/>
        </w:rPr>
      </w:pPr>
      <w:r w:rsidRPr="00050FF1">
        <w:rPr>
          <w:rFonts w:ascii="Times New Roman" w:hAnsi="Times New Roman" w:cs="Times New Roman"/>
          <w:color w:val="000000"/>
          <w:spacing w:val="-4"/>
          <w:sz w:val="24"/>
          <w:szCs w:val="24"/>
        </w:rPr>
        <w:t xml:space="preserve">Przedsięwzięcie obejmuje budowę elektrowni fotowoltaicznej o mocy do 3 MW wraz z niezbędną infrastrukturą towarzyszącą na działkach nr 188/1, 188/2, 189, 190/3, 193 obręb Tuplice, gmina Tuplice. Planowaną elektrownię fotowoltaiczną tworzyć będą: konstrukcje i elementy montażowe, panele fotowoltaiczne o mocy jednostkowej od 360 </w:t>
      </w:r>
      <w:proofErr w:type="spellStart"/>
      <w:r w:rsidRPr="00050FF1">
        <w:rPr>
          <w:rFonts w:ascii="Times New Roman" w:hAnsi="Times New Roman" w:cs="Times New Roman"/>
          <w:color w:val="000000"/>
          <w:spacing w:val="-4"/>
          <w:sz w:val="24"/>
          <w:szCs w:val="24"/>
        </w:rPr>
        <w:t>Wp</w:t>
      </w:r>
      <w:proofErr w:type="spellEnd"/>
      <w:r w:rsidRPr="00050FF1">
        <w:rPr>
          <w:rFonts w:ascii="Times New Roman" w:hAnsi="Times New Roman" w:cs="Times New Roman"/>
          <w:color w:val="000000"/>
          <w:spacing w:val="-4"/>
          <w:sz w:val="24"/>
          <w:szCs w:val="24"/>
        </w:rPr>
        <w:t xml:space="preserve"> do 500 </w:t>
      </w:r>
      <w:proofErr w:type="spellStart"/>
      <w:r w:rsidRPr="00050FF1">
        <w:rPr>
          <w:rFonts w:ascii="Times New Roman" w:hAnsi="Times New Roman" w:cs="Times New Roman"/>
          <w:color w:val="000000"/>
          <w:spacing w:val="-4"/>
          <w:sz w:val="24"/>
          <w:szCs w:val="24"/>
        </w:rPr>
        <w:t>Wp</w:t>
      </w:r>
      <w:proofErr w:type="spellEnd"/>
      <w:r w:rsidRPr="00050FF1">
        <w:rPr>
          <w:rFonts w:ascii="Times New Roman" w:hAnsi="Times New Roman" w:cs="Times New Roman"/>
          <w:color w:val="000000"/>
          <w:spacing w:val="-4"/>
          <w:sz w:val="24"/>
          <w:szCs w:val="24"/>
        </w:rPr>
        <w:t xml:space="preserve">, falowniki DC/AC </w:t>
      </w:r>
      <w:r w:rsidRPr="00050FF1">
        <w:rPr>
          <w:rFonts w:ascii="Times New Roman" w:hAnsi="Times New Roman" w:cs="Times New Roman"/>
          <w:color w:val="000000"/>
          <w:spacing w:val="-4"/>
          <w:sz w:val="24"/>
          <w:szCs w:val="24"/>
        </w:rPr>
        <w:t xml:space="preserve"> </w:t>
      </w:r>
      <w:r w:rsidRPr="00050FF1">
        <w:rPr>
          <w:rFonts w:ascii="Times New Roman" w:hAnsi="Times New Roman" w:cs="Times New Roman"/>
          <w:color w:val="000000"/>
          <w:spacing w:val="-4"/>
          <w:sz w:val="24"/>
          <w:szCs w:val="24"/>
        </w:rPr>
        <w:t xml:space="preserve">(3-150 szt.), okablowanie solarne, stacje transformatorowe </w:t>
      </w:r>
      <w:proofErr w:type="spellStart"/>
      <w:r w:rsidRPr="00050FF1">
        <w:rPr>
          <w:rFonts w:ascii="Times New Roman" w:hAnsi="Times New Roman" w:cs="Times New Roman"/>
          <w:color w:val="000000"/>
          <w:spacing w:val="-4"/>
          <w:sz w:val="24"/>
          <w:szCs w:val="24"/>
        </w:rPr>
        <w:t>nN</w:t>
      </w:r>
      <w:proofErr w:type="spellEnd"/>
      <w:r w:rsidRPr="00050FF1">
        <w:rPr>
          <w:rFonts w:ascii="Times New Roman" w:hAnsi="Times New Roman" w:cs="Times New Roman"/>
          <w:color w:val="000000"/>
          <w:spacing w:val="-4"/>
          <w:sz w:val="24"/>
          <w:szCs w:val="24"/>
        </w:rPr>
        <w:t>/SN (3 szt.), wyposażone w transformator olejowy lub suchy o mocy znamionowej do 2000 kVA, rozdzielnie, układ pomiarowy, układy zabezpieczające, linie kablowe niskiego i średniego napięcia oraz pozostałe oprzyrządowanie, drogi wewnętrzne nieutwardzone, ogrodzenie z siatki, monitoring, oświetlenie. Nie planuje się stałego oświetlenia elektrowni w porze nocnej. Wysokość konstrukcji wsporczej wraz z zamontowanymi panelami fotowoltaicznymi nie przekroczy 4 m. Na chwilę obecną nie jest znane miejsce przyłączenia inwestycji do Krajowego Systemu Elektroenergetycznego (KSE), które zostanie wskazane w warunkach przyłączeniowych.</w:t>
      </w:r>
      <w:r w:rsidRPr="00050FF1">
        <w:rPr>
          <w:rFonts w:ascii="Times New Roman" w:hAnsi="Times New Roman" w:cs="Times New Roman"/>
          <w:color w:val="000000"/>
          <w:spacing w:val="-4"/>
          <w:sz w:val="24"/>
          <w:szCs w:val="24"/>
        </w:rPr>
        <w:t xml:space="preserve"> </w:t>
      </w:r>
      <w:r w:rsidRPr="00050FF1">
        <w:rPr>
          <w:rFonts w:ascii="Times New Roman" w:hAnsi="Times New Roman" w:cs="Times New Roman"/>
          <w:color w:val="000000"/>
          <w:spacing w:val="-4"/>
          <w:sz w:val="24"/>
          <w:szCs w:val="24"/>
        </w:rPr>
        <w:t>Dojazd do terenu przedsięwzięcia zapewni układ dróg lokalnych, które graniczą z działkami inwestycyjnymi.</w:t>
      </w:r>
      <w:r>
        <w:rPr>
          <w:rFonts w:ascii="Times New Roman" w:hAnsi="Times New Roman" w:cs="Times New Roman"/>
          <w:color w:val="000000"/>
          <w:spacing w:val="-4"/>
          <w:sz w:val="24"/>
          <w:szCs w:val="24"/>
        </w:rPr>
        <w:t xml:space="preserve"> </w:t>
      </w:r>
      <w:r w:rsidRPr="00050FF1">
        <w:rPr>
          <w:rFonts w:ascii="Times New Roman" w:hAnsi="Times New Roman" w:cs="Times New Roman"/>
          <w:color w:val="000000"/>
          <w:spacing w:val="-4"/>
          <w:sz w:val="24"/>
          <w:szCs w:val="24"/>
        </w:rPr>
        <w:t>Teren, na którym realizowane będzie przedmiotowe przedsięwzięcie nie jest objęty miejscowym planem zagospodarowania przestrzennego.</w:t>
      </w:r>
    </w:p>
    <w:p w:rsidR="00ED7026" w:rsidRDefault="00D154C4">
      <w:pPr>
        <w:pStyle w:val="Textbody"/>
        <w:spacing w:after="120"/>
        <w:ind w:firstLine="567"/>
        <w:rPr>
          <w:color w:val="000000"/>
        </w:rPr>
      </w:pPr>
      <w:r>
        <w:rPr>
          <w:color w:val="000000"/>
        </w:rPr>
        <w:t>R</w:t>
      </w:r>
      <w:r>
        <w:rPr>
          <w:color w:val="000000"/>
        </w:rPr>
        <w:t>egionalny Dyrektor Ochrony Środowiska w Gorzowie Wlkp., w toku prowadzonego postępowania o uzgodnienie warunków realizacji prz</w:t>
      </w:r>
      <w:r>
        <w:rPr>
          <w:color w:val="000000"/>
        </w:rPr>
        <w:t>edsięwzięcia, ustalił co następuje.</w:t>
      </w:r>
    </w:p>
    <w:p w:rsidR="00ED7026" w:rsidRDefault="00D154C4">
      <w:pPr>
        <w:pStyle w:val="Textbody"/>
        <w:spacing w:after="120"/>
        <w:ind w:firstLine="567"/>
        <w:rPr>
          <w:color w:val="000000"/>
        </w:rPr>
      </w:pPr>
      <w:r>
        <w:rPr>
          <w:color w:val="000000"/>
        </w:rPr>
        <w:t xml:space="preserve">Zgodnie z art. 71 ust. 1 pkt 2 ustawy o </w:t>
      </w:r>
      <w:proofErr w:type="spellStart"/>
      <w:r>
        <w:rPr>
          <w:color w:val="000000"/>
        </w:rPr>
        <w:t>ooś</w:t>
      </w:r>
      <w:proofErr w:type="spellEnd"/>
      <w:r>
        <w:rPr>
          <w:color w:val="000000"/>
        </w:rPr>
        <w:t xml:space="preserve"> decyzja o środowiskowych uwarunkowaniach wymagana jest dla przedsięwzięć mogących potencjalnie znacząco oddziaływać na środowisko.</w:t>
      </w:r>
    </w:p>
    <w:p w:rsidR="00ED7026" w:rsidRDefault="00D154C4">
      <w:pPr>
        <w:pStyle w:val="Textbody"/>
        <w:spacing w:after="120"/>
        <w:ind w:firstLine="567"/>
        <w:rPr>
          <w:color w:val="000000"/>
        </w:rPr>
      </w:pPr>
      <w:r>
        <w:rPr>
          <w:color w:val="000000"/>
        </w:rPr>
        <w:t>Przedsięwzięcie, zostało zakwalifikowane zgod</w:t>
      </w:r>
      <w:r>
        <w:rPr>
          <w:color w:val="000000"/>
        </w:rPr>
        <w:t>nie z § 3 ust. 1 pkt 54 lit. a Rozporządzenia Rady Ministrów z 10 września 2019 r. w sprawie przedsięwzięć mogących znacząco oddziaływać na środowisko (Dz. U. poz. 1839) do przedsięwzięć mogących potencjalnie znacząco oddziaływać na środowisko.</w:t>
      </w:r>
    </w:p>
    <w:p w:rsidR="00ED7026" w:rsidRDefault="00D154C4">
      <w:pPr>
        <w:pStyle w:val="Textbody"/>
        <w:spacing w:after="120"/>
        <w:ind w:firstLine="567"/>
      </w:pPr>
      <w:r>
        <w:rPr>
          <w:color w:val="000000"/>
        </w:rPr>
        <w:t>Organem wła</w:t>
      </w:r>
      <w:r>
        <w:rPr>
          <w:color w:val="000000"/>
        </w:rPr>
        <w:t xml:space="preserve">ściwym do wydania decyzji w przedmiotowej sprawie jest Wójt Gminy Tuplice. Wójt Gminy Tuplice </w:t>
      </w:r>
      <w:r>
        <w:t xml:space="preserve">postanowieniem </w:t>
      </w:r>
      <w:r w:rsidR="00B56CC4" w:rsidRPr="00B56CC4">
        <w:t>z dnia 3 listopada 2021 r. znak: OSII.6220.2.2021.KK.</w:t>
      </w:r>
      <w:r>
        <w:t xml:space="preserve">stwierdził </w:t>
      </w:r>
      <w:r>
        <w:rPr>
          <w:color w:val="000000"/>
        </w:rPr>
        <w:t>konieczność przeprowadzenia oceny oddziaływania na środowisko dla przedmiotowej inwestycj</w:t>
      </w:r>
      <w:r>
        <w:rPr>
          <w:color w:val="000000"/>
        </w:rPr>
        <w:t>i.</w:t>
      </w:r>
    </w:p>
    <w:p w:rsidR="00ED7026" w:rsidRDefault="00D154C4">
      <w:pPr>
        <w:pStyle w:val="Textbody"/>
        <w:spacing w:after="120"/>
        <w:ind w:firstLine="567"/>
        <w:rPr>
          <w:color w:val="000000"/>
        </w:rPr>
      </w:pPr>
      <w:r>
        <w:rPr>
          <w:color w:val="000000"/>
        </w:rPr>
        <w:t xml:space="preserve">Organem uzgadniającym warunki realizacji tego przedsięwzięcia na podstawie art. 77 ust. 1 pkt 1 ustawy o </w:t>
      </w:r>
      <w:proofErr w:type="spellStart"/>
      <w:r>
        <w:rPr>
          <w:color w:val="000000"/>
        </w:rPr>
        <w:t>ooś</w:t>
      </w:r>
      <w:proofErr w:type="spellEnd"/>
      <w:r>
        <w:rPr>
          <w:color w:val="000000"/>
        </w:rPr>
        <w:t xml:space="preserve"> jest regionalny dyrektor ochrony środowiska. W tym przypadku właściwym miejscowo jest Regionalny Dyrektor Ochrony Środowiska w Gorzowie Wlkp.</w:t>
      </w:r>
    </w:p>
    <w:p w:rsidR="00105A12" w:rsidRPr="00105A12" w:rsidRDefault="00105A12" w:rsidP="00105A12">
      <w:pPr>
        <w:widowControl/>
        <w:suppressAutoHyphens w:val="0"/>
        <w:autoSpaceDN/>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lastRenderedPageBreak/>
        <w:t xml:space="preserve">Planowane przedsięwzięcie zlokalizowane będzie na działkach nr 188/1, 188/2, 189, 190/3, 193 obręb Tuplice. Przedmiotowe działki są niezabudowane. W obrębie </w:t>
      </w:r>
      <w:r w:rsidRPr="00105A12">
        <w:rPr>
          <w:rFonts w:ascii="Times New Roman" w:eastAsia="Times New Roman" w:hAnsi="Times New Roman" w:cs="Arial"/>
          <w:kern w:val="0"/>
          <w:sz w:val="24"/>
          <w:szCs w:val="24"/>
          <w:lang w:eastAsia="pl-PL"/>
        </w:rPr>
        <w:t>działek występują grunty rolne – orne (</w:t>
      </w:r>
      <w:proofErr w:type="spellStart"/>
      <w:r w:rsidRPr="00105A12">
        <w:rPr>
          <w:rFonts w:ascii="Times New Roman" w:eastAsia="Times New Roman" w:hAnsi="Times New Roman" w:cs="Arial"/>
          <w:kern w:val="0"/>
          <w:sz w:val="24"/>
          <w:szCs w:val="24"/>
          <w:lang w:eastAsia="pl-PL"/>
        </w:rPr>
        <w:t>RIVa</w:t>
      </w:r>
      <w:proofErr w:type="spellEnd"/>
      <w:r w:rsidRPr="00105A12">
        <w:rPr>
          <w:rFonts w:ascii="Times New Roman" w:eastAsia="Times New Roman" w:hAnsi="Times New Roman" w:cs="Arial"/>
          <w:kern w:val="0"/>
          <w:sz w:val="24"/>
          <w:szCs w:val="24"/>
          <w:lang w:eastAsia="pl-PL"/>
        </w:rPr>
        <w:t xml:space="preserve">, </w:t>
      </w:r>
      <w:proofErr w:type="spellStart"/>
      <w:r w:rsidRPr="00105A12">
        <w:rPr>
          <w:rFonts w:ascii="Times New Roman" w:eastAsia="Times New Roman" w:hAnsi="Times New Roman" w:cs="Arial"/>
          <w:kern w:val="0"/>
          <w:sz w:val="24"/>
          <w:szCs w:val="24"/>
          <w:lang w:eastAsia="pl-PL"/>
        </w:rPr>
        <w:t>RIVb</w:t>
      </w:r>
      <w:proofErr w:type="spellEnd"/>
      <w:r w:rsidRPr="00105A12">
        <w:rPr>
          <w:rFonts w:ascii="Times New Roman" w:eastAsia="Times New Roman" w:hAnsi="Times New Roman" w:cs="Arial"/>
          <w:kern w:val="0"/>
          <w:sz w:val="24"/>
          <w:szCs w:val="24"/>
          <w:lang w:eastAsia="pl-PL"/>
        </w:rPr>
        <w:t>, RV) i łąki trwałe (ŁIV). Teren planowanej inwestycji położony jest w sąsiedztwie terenów rolnych,</w:t>
      </w:r>
      <w:r w:rsidRPr="00105A12">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Arial"/>
          <w:kern w:val="0"/>
          <w:sz w:val="24"/>
          <w:szCs w:val="24"/>
          <w:lang w:eastAsia="pl-PL"/>
        </w:rPr>
        <w:t>drogi powiatowej</w:t>
      </w:r>
      <w:r w:rsidRPr="00105A12">
        <w:rPr>
          <w:rFonts w:eastAsia="Calibri" w:cs="Calibri"/>
          <w:kern w:val="0"/>
        </w:rPr>
        <w:t xml:space="preserve"> i </w:t>
      </w:r>
      <w:r w:rsidRPr="00105A12">
        <w:rPr>
          <w:rFonts w:ascii="Times New Roman" w:eastAsia="Times New Roman" w:hAnsi="Times New Roman" w:cs="Arial"/>
          <w:kern w:val="0"/>
          <w:sz w:val="24"/>
          <w:szCs w:val="24"/>
          <w:lang w:eastAsia="pl-PL"/>
        </w:rPr>
        <w:t xml:space="preserve">dróg polnych, </w:t>
      </w:r>
      <w:proofErr w:type="spellStart"/>
      <w:r w:rsidRPr="00105A12">
        <w:rPr>
          <w:rFonts w:ascii="Times New Roman" w:eastAsia="Times New Roman" w:hAnsi="Times New Roman" w:cs="Arial"/>
          <w:kern w:val="0"/>
          <w:sz w:val="24"/>
          <w:szCs w:val="24"/>
          <w:lang w:eastAsia="pl-PL"/>
        </w:rPr>
        <w:t>zadrzewień</w:t>
      </w:r>
      <w:proofErr w:type="spellEnd"/>
      <w:r w:rsidRPr="00105A12">
        <w:rPr>
          <w:rFonts w:ascii="Times New Roman" w:eastAsia="Times New Roman" w:hAnsi="Times New Roman" w:cs="Arial"/>
          <w:kern w:val="0"/>
          <w:sz w:val="24"/>
          <w:szCs w:val="24"/>
          <w:lang w:eastAsia="pl-PL"/>
        </w:rPr>
        <w:t xml:space="preserve"> oraz niewielkich zbiorników wodnych i terenów okresowo podmokłych. Teren inwestycji położony jest w sąsiedztwie miejscowości Tuplice, na północ od tej miejscowości.</w:t>
      </w:r>
    </w:p>
    <w:p w:rsidR="00105A12" w:rsidRPr="00105A12" w:rsidRDefault="00105A12" w:rsidP="00105A12">
      <w:pPr>
        <w:widowControl/>
        <w:suppressAutoHyphens w:val="0"/>
        <w:autoSpaceDN/>
        <w:spacing w:after="0" w:line="240" w:lineRule="auto"/>
        <w:ind w:firstLine="567"/>
        <w:jc w:val="both"/>
        <w:textAlignment w:val="auto"/>
        <w:rPr>
          <w:rFonts w:eastAsia="Calibri" w:cs="Calibri"/>
          <w:kern w:val="0"/>
        </w:rPr>
      </w:pPr>
      <w:r w:rsidRPr="00105A12">
        <w:rPr>
          <w:rFonts w:ascii="Times New Roman" w:eastAsia="Times New Roman" w:hAnsi="Times New Roman" w:cs="Times New Roman"/>
          <w:kern w:val="0"/>
          <w:sz w:val="24"/>
          <w:szCs w:val="24"/>
          <w:lang w:eastAsia="pl-PL"/>
        </w:rPr>
        <w:t xml:space="preserve">Etap realizacji przedsięwzięcia związany będzie z szeregiem oddziaływań, które </w:t>
      </w:r>
      <w:r w:rsidRPr="00105A12">
        <w:rPr>
          <w:rFonts w:ascii="Times New Roman" w:eastAsia="Times New Roman" w:hAnsi="Times New Roman" w:cs="Times New Roman"/>
          <w:kern w:val="0"/>
          <w:sz w:val="24"/>
          <w:szCs w:val="24"/>
          <w:lang w:eastAsia="pl-PL"/>
        </w:rPr>
        <w:br/>
        <w:t>ze względu na charakter przedsięwzięcia będą rozłożone w czasie. Etap budowy związany będzie z emisjami typowymi dla robót budowlano-montażowych. Występować będzie niezorganizowana emisja zanieczyszczeń do powietrza (gazów spalinowych i pyłów)</w:t>
      </w:r>
      <w:r>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oraz hałasu i drgań do otoczenia, których źródłem będą </w:t>
      </w:r>
      <w:r w:rsidRPr="00105A12">
        <w:rPr>
          <w:rFonts w:ascii="Times New Roman" w:eastAsia="Times New Roman" w:hAnsi="Times New Roman" w:cs="Arial"/>
          <w:kern w:val="0"/>
          <w:sz w:val="24"/>
          <w:szCs w:val="24"/>
          <w:lang w:eastAsia="pl-PL"/>
        </w:rPr>
        <w:t>maszyny i urządzenia budowlane</w:t>
      </w:r>
      <w:r>
        <w:rPr>
          <w:rFonts w:ascii="Times New Roman" w:eastAsia="Times New Roman" w:hAnsi="Times New Roman" w:cs="Arial"/>
          <w:kern w:val="0"/>
          <w:sz w:val="24"/>
          <w:szCs w:val="24"/>
          <w:lang w:eastAsia="pl-PL"/>
        </w:rPr>
        <w:t xml:space="preserve"> </w:t>
      </w:r>
      <w:r w:rsidRPr="00105A12">
        <w:rPr>
          <w:rFonts w:ascii="Times New Roman" w:eastAsia="Times New Roman" w:hAnsi="Times New Roman" w:cs="Arial"/>
          <w:kern w:val="0"/>
          <w:sz w:val="24"/>
          <w:szCs w:val="24"/>
          <w:lang w:eastAsia="pl-PL"/>
        </w:rPr>
        <w:t>oraz sprzęt transportowy</w:t>
      </w:r>
      <w:r w:rsidRPr="00105A12">
        <w:rPr>
          <w:rFonts w:ascii="Times New Roman" w:eastAsia="Times New Roman" w:hAnsi="Times New Roman" w:cs="Times New Roman"/>
          <w:kern w:val="0"/>
          <w:sz w:val="24"/>
          <w:szCs w:val="24"/>
          <w:lang w:eastAsia="pl-PL"/>
        </w:rPr>
        <w:t>. Prace budowlano-montażowe prowadzone będą w porze dziennej,</w:t>
      </w:r>
      <w:r>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w godzinach 6.00 – 22.00, przy użyciu sprawnego technicznie sprzętu. Wykonywanie napraw sprzętu budowlanego odbywać się będzie poza terenem wykonywanych prac. W razie potrzeby tankowania sprzętu zostaną wykorzystane maty absorbujące, zapobiegające ewentualnym przeciekom substancji szkodliwych do podłoża. Plac budowy zabezpieczony będzie</w:t>
      </w:r>
      <w:r>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w sorbenty. Miejsce postoju maszyn budowlanych posiadać będzie utwardzoną </w:t>
      </w:r>
      <w:r w:rsidRPr="00105A12">
        <w:rPr>
          <w:rFonts w:ascii="Times New Roman" w:eastAsia="Times New Roman" w:hAnsi="Times New Roman" w:cs="Times New Roman"/>
          <w:kern w:val="0"/>
          <w:sz w:val="24"/>
          <w:szCs w:val="24"/>
          <w:lang w:eastAsia="pl-PL"/>
        </w:rPr>
        <w:br/>
        <w:t xml:space="preserve">i uszczelnioną powierzchnią. Etap realizacji przedsięwzięcia wiązać się będzie także </w:t>
      </w:r>
      <w:r w:rsidRPr="00105A12">
        <w:rPr>
          <w:rFonts w:ascii="Times New Roman" w:eastAsia="Times New Roman" w:hAnsi="Times New Roman" w:cs="Times New Roman"/>
          <w:kern w:val="0"/>
          <w:sz w:val="24"/>
          <w:szCs w:val="24"/>
          <w:lang w:eastAsia="pl-PL"/>
        </w:rPr>
        <w:br/>
        <w:t>z naruszeniem mas ziemnych, powstawaniem odpadów i ścieków. Prace ziemne spowodują tymczasowe przekształcenie powierzchni ziemi, m.in. w wyniku realizacji wykopów pod linie kablowe. Ziemia powstała podczas wykopów zostanie wykorzystana do ich zasypania</w:t>
      </w:r>
      <w:r>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i wyrównania terenu wokół nich. Powstawać będą głównie odpady opakowaniowe i budowlane, u</w:t>
      </w:r>
      <w:r w:rsidRPr="00105A12">
        <w:rPr>
          <w:rFonts w:ascii="Times New Roman" w:eastAsia="Times New Roman" w:hAnsi="Times New Roman" w:cs="Arial"/>
          <w:kern w:val="0"/>
          <w:sz w:val="24"/>
          <w:szCs w:val="24"/>
          <w:lang w:eastAsia="pl-PL"/>
        </w:rPr>
        <w:t xml:space="preserve">jęte w grupach 15 i 17 Katalogu odpadów. Wytwarzane odpady gromadzone będą selektywnie, w miejscu chronionym przed rozwiewaniem oraz niekorzystnym wpływem zmiennych warunków atmosferycznych, odizolowanym od dostępu osób trzecich. </w:t>
      </w:r>
      <w:r w:rsidRPr="00105A12">
        <w:rPr>
          <w:rFonts w:ascii="Times New Roman" w:eastAsia="Times New Roman" w:hAnsi="Times New Roman" w:cs="Times New Roman"/>
          <w:kern w:val="0"/>
          <w:sz w:val="24"/>
          <w:szCs w:val="24"/>
          <w:lang w:eastAsia="pl-PL"/>
        </w:rPr>
        <w:t>Odpady przekazywane będą</w:t>
      </w:r>
      <w:r w:rsidRPr="00105A12">
        <w:rPr>
          <w:rFonts w:ascii="Times New Roman" w:eastAsia="Times New Roman" w:hAnsi="Times New Roman" w:cs="Arial"/>
          <w:kern w:val="0"/>
          <w:sz w:val="24"/>
          <w:szCs w:val="24"/>
          <w:lang w:eastAsia="pl-PL"/>
        </w:rPr>
        <w:t xml:space="preserve"> podmiotom posiadającym wymagane zezwolenia.</w:t>
      </w:r>
      <w:r w:rsidRPr="00105A12">
        <w:rPr>
          <w:rFonts w:ascii="Times New Roman" w:eastAsia="Times New Roman" w:hAnsi="Times New Roman" w:cs="Times New Roman"/>
          <w:kern w:val="0"/>
          <w:sz w:val="24"/>
          <w:szCs w:val="24"/>
          <w:lang w:eastAsia="pl-PL"/>
        </w:rPr>
        <w:t xml:space="preserve"> Plac budowy wyposażony będzie w przenośne toalety, wyposażone w zbiorniki bezodpływowe. </w:t>
      </w:r>
      <w:r w:rsidRPr="00105A12">
        <w:rPr>
          <w:rFonts w:ascii="Times New Roman" w:eastAsia="Times New Roman" w:hAnsi="Times New Roman" w:cs="Arial"/>
          <w:kern w:val="0"/>
          <w:sz w:val="24"/>
          <w:szCs w:val="24"/>
          <w:lang w:eastAsia="pl-PL"/>
        </w:rPr>
        <w:t xml:space="preserve">Ścieki bytowe odbierane będą przez firmy zajmujące się wywozem nieczystości płynnych. </w:t>
      </w:r>
      <w:r w:rsidRPr="00105A12">
        <w:rPr>
          <w:rFonts w:ascii="Times New Roman" w:eastAsia="Times New Roman" w:hAnsi="Times New Roman" w:cs="Times New Roman"/>
          <w:kern w:val="0"/>
          <w:sz w:val="24"/>
          <w:szCs w:val="24"/>
          <w:lang w:eastAsia="pl-PL"/>
        </w:rPr>
        <w:t>Reasumując, należy przyjąć, że oddziaływania występujące na etapie realizacji przedsięwzięcia będą miały charakter krótkotrwały, przejściowy i lokalny, ustaną one po zakończeniu prac.</w:t>
      </w:r>
      <w:r w:rsidRPr="00105A12">
        <w:rPr>
          <w:rFonts w:ascii="Times New Roman" w:eastAsia="Calibri" w:hAnsi="Times New Roman" w:cs="Times New Roman"/>
          <w:kern w:val="0"/>
          <w:sz w:val="24"/>
          <w:szCs w:val="24"/>
        </w:rPr>
        <w:t xml:space="preserve"> </w:t>
      </w:r>
    </w:p>
    <w:p w:rsidR="00105A12" w:rsidRPr="00105A12" w:rsidRDefault="00105A12" w:rsidP="00105A12">
      <w:pPr>
        <w:widowControl/>
        <w:suppressAutoHyphens w:val="0"/>
        <w:autoSpaceDN/>
        <w:spacing w:after="0" w:line="240" w:lineRule="auto"/>
        <w:ind w:firstLine="567"/>
        <w:jc w:val="both"/>
        <w:textAlignment w:val="auto"/>
        <w:rPr>
          <w:rFonts w:eastAsia="Calibri" w:cs="Calibri"/>
          <w:kern w:val="0"/>
        </w:rPr>
      </w:pPr>
      <w:r w:rsidRPr="00105A12">
        <w:rPr>
          <w:rFonts w:ascii="Times New Roman" w:eastAsia="Times New Roman" w:hAnsi="Times New Roman" w:cs="Times New Roman"/>
          <w:kern w:val="0"/>
          <w:sz w:val="24"/>
          <w:szCs w:val="24"/>
          <w:lang w:eastAsia="pl-PL"/>
        </w:rPr>
        <w:t>Etap użytkowania przedsięwzięcia nie będzie związany ze znaczącymi oddziaływaniami. Podczas eksploatacji inwestycji nie przewiduje się powstawania odpadów, za wyjątkiem odpadów powstających podczas prowadzenia prac k</w:t>
      </w:r>
      <w:r w:rsidRPr="00105A12">
        <w:rPr>
          <w:rFonts w:ascii="Times New Roman" w:eastAsia="Times New Roman" w:hAnsi="Times New Roman" w:cs="Arial"/>
          <w:kern w:val="0"/>
          <w:sz w:val="24"/>
          <w:szCs w:val="24"/>
          <w:lang w:eastAsia="pl-PL"/>
        </w:rPr>
        <w:t xml:space="preserve">onserwacyjnych urządzeń technicznych. Powstałe w wyniku tych prac odpady będą zagospodarowane zgodnie z obowiązującymi przepisami prawa. Na terenie elektrowni nie przewiduje się magazynowania odpadów. </w:t>
      </w:r>
      <w:r w:rsidRPr="00105A12">
        <w:rPr>
          <w:rFonts w:ascii="Times New Roman" w:eastAsia="Times New Roman" w:hAnsi="Times New Roman" w:cs="Times New Roman"/>
          <w:kern w:val="0"/>
          <w:sz w:val="24"/>
          <w:szCs w:val="24"/>
          <w:lang w:eastAsia="pl-PL"/>
        </w:rPr>
        <w:t>Planowana inwestycja nie wymaga budowy zaplecza socjalnego, ani infrastruktury wodno-kanalizacyjnej. Inwestycja nie będzie wiązać się z emisją ścieków bytowych. Zabieg mycia paneli wykonywany będzie przy użycie zdemineralizowanej wody, bez dodatku substancji chemicznych/detergentów, lub za pomocą bezwodnej technologii. Woda z mycia paneli</w:t>
      </w:r>
      <w:r>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analogicznie do wody deszczowej, będzie swobodnie spływała z powierzchni paneli do gruntu w granicach terenu znajdującego się we władaniu inwestora. Projektowana inwestycja wyposażona będzie w stacje transformatorowe. W każdej stacji zostanie zamontowany jeden transformator olejowy</w:t>
      </w:r>
      <w:r w:rsidRPr="00105A12">
        <w:rPr>
          <w:rFonts w:eastAsia="Calibri" w:cs="Calibri"/>
          <w:kern w:val="0"/>
        </w:rPr>
        <w:t xml:space="preserve"> </w:t>
      </w:r>
      <w:r w:rsidRPr="00105A12">
        <w:rPr>
          <w:rFonts w:ascii="Times New Roman" w:eastAsia="Times New Roman" w:hAnsi="Times New Roman" w:cs="Times New Roman"/>
          <w:kern w:val="0"/>
          <w:sz w:val="24"/>
          <w:szCs w:val="24"/>
          <w:lang w:eastAsia="pl-PL"/>
        </w:rPr>
        <w:t>wyposażony w misę olejową. Dopuszcza się także zastosowanie transformatorów suchych. W ramach niniejszego uzgodnienia w pkt 3 ustalono graniczne parametry dotyczące wyposażenia farmy fotowoltaicznej. Warunek pkt 3.4.</w:t>
      </w:r>
      <w:r>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ma za zadanie ochronę środowiska gruntowo-wodnego. </w:t>
      </w:r>
    </w:p>
    <w:p w:rsidR="00105A12" w:rsidRPr="00105A12" w:rsidRDefault="00105A12" w:rsidP="00105A12">
      <w:pPr>
        <w:widowControl/>
        <w:suppressAutoHyphens w:val="0"/>
        <w:autoSpaceDN/>
        <w:spacing w:after="0" w:line="240" w:lineRule="auto"/>
        <w:ind w:firstLine="567"/>
        <w:jc w:val="both"/>
        <w:textAlignment w:val="auto"/>
        <w:rPr>
          <w:rFonts w:eastAsia="Calibri" w:cs="Calibri"/>
          <w:kern w:val="0"/>
        </w:rPr>
      </w:pPr>
      <w:r w:rsidRPr="00105A12">
        <w:rPr>
          <w:rFonts w:ascii="Times New Roman" w:eastAsia="Calibri" w:hAnsi="Times New Roman" w:cs="Times New Roman"/>
          <w:kern w:val="0"/>
          <w:sz w:val="24"/>
          <w:szCs w:val="24"/>
          <w:lang w:eastAsia="pl-PL"/>
        </w:rPr>
        <w:t xml:space="preserve">Etap użytkowania instalacji nie będzie związany ze znaczącymi oddziaływaniami </w:t>
      </w:r>
      <w:r w:rsidRPr="00105A12">
        <w:rPr>
          <w:rFonts w:ascii="Times New Roman" w:eastAsia="Calibri" w:hAnsi="Times New Roman" w:cs="Times New Roman"/>
          <w:kern w:val="0"/>
          <w:sz w:val="24"/>
          <w:szCs w:val="24"/>
          <w:lang w:eastAsia="pl-PL"/>
        </w:rPr>
        <w:br/>
        <w:t xml:space="preserve">w zakresie emisji zanieczyszczeń do powietrza. Zgodnie z przedłożonym raportem, obiektami na terenie farmy mogącymi powodować emisję hałasu będą: stacje transformatorowe (3 szt.) </w:t>
      </w:r>
      <w:r w:rsidRPr="00105A12">
        <w:rPr>
          <w:rFonts w:ascii="Times New Roman" w:eastAsia="Calibri" w:hAnsi="Times New Roman" w:cs="Times New Roman"/>
          <w:kern w:val="0"/>
          <w:sz w:val="24"/>
          <w:szCs w:val="24"/>
          <w:lang w:eastAsia="pl-PL"/>
        </w:rPr>
        <w:br/>
        <w:t xml:space="preserve">– obiekty kontenerowe, prefabrykowane, każda o poziomie mocy akustycznej do 74 </w:t>
      </w:r>
      <w:proofErr w:type="spellStart"/>
      <w:r w:rsidRPr="00105A12">
        <w:rPr>
          <w:rFonts w:ascii="Times New Roman" w:eastAsia="Calibri" w:hAnsi="Times New Roman" w:cs="Times New Roman"/>
          <w:kern w:val="0"/>
          <w:sz w:val="24"/>
          <w:szCs w:val="24"/>
          <w:lang w:eastAsia="pl-PL"/>
        </w:rPr>
        <w:t>dB</w:t>
      </w:r>
      <w:proofErr w:type="spellEnd"/>
      <w:r w:rsidRPr="00105A12">
        <w:rPr>
          <w:rFonts w:ascii="Times New Roman" w:eastAsia="Calibri" w:hAnsi="Times New Roman" w:cs="Times New Roman"/>
          <w:kern w:val="0"/>
          <w:sz w:val="24"/>
          <w:szCs w:val="24"/>
          <w:lang w:eastAsia="pl-PL"/>
        </w:rPr>
        <w:t xml:space="preserve">, </w:t>
      </w:r>
      <w:r w:rsidRPr="00105A12">
        <w:rPr>
          <w:rFonts w:ascii="Times New Roman" w:eastAsia="Calibri" w:hAnsi="Times New Roman" w:cs="Times New Roman"/>
          <w:kern w:val="0"/>
          <w:sz w:val="24"/>
          <w:szCs w:val="24"/>
          <w:lang w:eastAsia="pl-PL"/>
        </w:rPr>
        <w:br/>
        <w:t xml:space="preserve">oraz inwertery (3-150 szt.), każdy o poziomie mocy akustycznej do 65 </w:t>
      </w:r>
      <w:proofErr w:type="spellStart"/>
      <w:r w:rsidRPr="00105A12">
        <w:rPr>
          <w:rFonts w:ascii="Times New Roman" w:eastAsia="Calibri" w:hAnsi="Times New Roman" w:cs="Times New Roman"/>
          <w:kern w:val="0"/>
          <w:sz w:val="24"/>
          <w:szCs w:val="24"/>
          <w:lang w:eastAsia="pl-PL"/>
        </w:rPr>
        <w:t>dB</w:t>
      </w:r>
      <w:proofErr w:type="spellEnd"/>
      <w:r w:rsidRPr="00105A12">
        <w:rPr>
          <w:rFonts w:ascii="Times New Roman" w:eastAsia="Calibri" w:hAnsi="Times New Roman" w:cs="Times New Roman"/>
          <w:kern w:val="0"/>
          <w:sz w:val="24"/>
          <w:szCs w:val="24"/>
          <w:lang w:eastAsia="pl-PL"/>
        </w:rPr>
        <w:t xml:space="preserve">. </w:t>
      </w:r>
      <w:r w:rsidRPr="00105A12">
        <w:rPr>
          <w:rFonts w:ascii="Times New Roman" w:eastAsia="Calibri" w:hAnsi="Times New Roman" w:cs="Arial"/>
          <w:kern w:val="0"/>
          <w:sz w:val="24"/>
          <w:szCs w:val="24"/>
          <w:lang w:eastAsia="pl-PL"/>
        </w:rPr>
        <w:t xml:space="preserve">Stacje transformatorowe planuje się zlokalizować w odległości 765 m od najbliższej zabudowy mieszkalnej, położonej na działce nr 168/2 obręb Tuplice. Wymieniona zabudowa usytuowana jest </w:t>
      </w:r>
      <w:r w:rsidRPr="00105A12">
        <w:rPr>
          <w:rFonts w:ascii="Times New Roman" w:eastAsia="Calibri" w:hAnsi="Times New Roman" w:cs="Times New Roman"/>
          <w:kern w:val="0"/>
          <w:sz w:val="24"/>
          <w:szCs w:val="24"/>
          <w:lang w:eastAsia="pl-PL"/>
        </w:rPr>
        <w:t xml:space="preserve">w odległości ok. 480 m od </w:t>
      </w:r>
      <w:r w:rsidRPr="00105A12">
        <w:rPr>
          <w:rFonts w:ascii="Times New Roman" w:eastAsia="Calibri" w:hAnsi="Times New Roman" w:cs="Arial"/>
          <w:kern w:val="0"/>
          <w:sz w:val="24"/>
          <w:szCs w:val="24"/>
          <w:lang w:eastAsia="pl-PL"/>
        </w:rPr>
        <w:t xml:space="preserve">granic terenu inwestycyjnego. </w:t>
      </w:r>
      <w:r w:rsidRPr="00105A12">
        <w:rPr>
          <w:rFonts w:ascii="Times New Roman" w:eastAsia="Calibri" w:hAnsi="Times New Roman" w:cs="Times New Roman"/>
          <w:kern w:val="0"/>
          <w:sz w:val="24"/>
          <w:szCs w:val="24"/>
          <w:lang w:eastAsia="pl-PL"/>
        </w:rPr>
        <w:t>Okazjonalnie źródłem hałasu</w:t>
      </w:r>
      <w:r>
        <w:rPr>
          <w:rFonts w:ascii="Times New Roman" w:eastAsia="Calibri" w:hAnsi="Times New Roman" w:cs="Times New Roman"/>
          <w:kern w:val="0"/>
          <w:sz w:val="24"/>
          <w:szCs w:val="24"/>
          <w:lang w:eastAsia="pl-PL"/>
        </w:rPr>
        <w:t xml:space="preserve"> </w:t>
      </w:r>
      <w:r w:rsidRPr="00105A12">
        <w:rPr>
          <w:rFonts w:ascii="Times New Roman" w:eastAsia="Calibri" w:hAnsi="Times New Roman" w:cs="Times New Roman"/>
          <w:kern w:val="0"/>
          <w:sz w:val="24"/>
          <w:szCs w:val="24"/>
          <w:lang w:eastAsia="pl-PL"/>
        </w:rPr>
        <w:t xml:space="preserve">na terenie farmy będą prace serwisowe </w:t>
      </w:r>
      <w:r>
        <w:rPr>
          <w:rFonts w:ascii="Times New Roman" w:eastAsia="Calibri" w:hAnsi="Times New Roman" w:cs="Times New Roman"/>
          <w:kern w:val="0"/>
          <w:sz w:val="24"/>
          <w:szCs w:val="24"/>
          <w:lang w:eastAsia="pl-PL"/>
        </w:rPr>
        <w:br/>
      </w:r>
      <w:r w:rsidRPr="00105A12">
        <w:rPr>
          <w:rFonts w:ascii="Times New Roman" w:eastAsia="Calibri" w:hAnsi="Times New Roman" w:cs="Times New Roman"/>
          <w:kern w:val="0"/>
          <w:sz w:val="24"/>
          <w:szCs w:val="24"/>
          <w:lang w:eastAsia="pl-PL"/>
        </w:rPr>
        <w:t>i konserwacyjne, w tym usuwanie zabrudzeń</w:t>
      </w:r>
      <w:r>
        <w:rPr>
          <w:rFonts w:ascii="Times New Roman" w:eastAsia="Calibri" w:hAnsi="Times New Roman" w:cs="Times New Roman"/>
          <w:kern w:val="0"/>
          <w:sz w:val="24"/>
          <w:szCs w:val="24"/>
          <w:lang w:eastAsia="pl-PL"/>
        </w:rPr>
        <w:t xml:space="preserve"> </w:t>
      </w:r>
      <w:r w:rsidRPr="00105A12">
        <w:rPr>
          <w:rFonts w:ascii="Times New Roman" w:eastAsia="Calibri" w:hAnsi="Times New Roman" w:cs="Times New Roman"/>
          <w:kern w:val="0"/>
          <w:sz w:val="24"/>
          <w:szCs w:val="24"/>
          <w:lang w:eastAsia="pl-PL"/>
        </w:rPr>
        <w:t xml:space="preserve">z powierzchni paneli i koszenie roślinności. Mając na </w:t>
      </w:r>
      <w:r w:rsidRPr="00105A12">
        <w:rPr>
          <w:rFonts w:ascii="Times New Roman" w:eastAsia="Calibri" w:hAnsi="Times New Roman" w:cs="Times New Roman"/>
          <w:kern w:val="0"/>
          <w:sz w:val="24"/>
          <w:szCs w:val="24"/>
          <w:lang w:eastAsia="pl-PL"/>
        </w:rPr>
        <w:lastRenderedPageBreak/>
        <w:t>uwadze powyższe, nie przewiduje się możliwości negatywnego oddziaływania przedsięwzięcia na tereny chronione akustycznie.</w:t>
      </w:r>
      <w:r w:rsidRPr="00105A12">
        <w:rPr>
          <w:rFonts w:eastAsia="Calibri" w:cs="Calibri"/>
          <w:kern w:val="0"/>
        </w:rPr>
        <w:t xml:space="preserve"> </w:t>
      </w:r>
      <w:r w:rsidRPr="00105A12">
        <w:rPr>
          <w:rFonts w:ascii="Times New Roman" w:eastAsia="Calibri" w:hAnsi="Times New Roman" w:cs="Times New Roman"/>
          <w:kern w:val="0"/>
          <w:sz w:val="24"/>
          <w:szCs w:val="24"/>
          <w:lang w:eastAsia="pl-PL"/>
        </w:rPr>
        <w:t xml:space="preserve">Inwestycja będzie również źródłem pola elektromagnetycznego związanego głównie z pracą transformatorów, inwerterów, rozdzielnic i linii kablowych. Oddziaływanie ww. urządzeń elektrycznych ograniczane będzie poprzez umieszczenie ich w obudowach/kontenerach. Wszystkie linie kablowe niskiego i średniego napięcia (oprócz przewodów </w:t>
      </w:r>
      <w:proofErr w:type="spellStart"/>
      <w:r w:rsidRPr="00105A12">
        <w:rPr>
          <w:rFonts w:ascii="Times New Roman" w:eastAsia="Calibri" w:hAnsi="Times New Roman" w:cs="Times New Roman"/>
          <w:kern w:val="0"/>
          <w:sz w:val="24"/>
          <w:szCs w:val="24"/>
          <w:lang w:eastAsia="pl-PL"/>
        </w:rPr>
        <w:t>n</w:t>
      </w:r>
      <w:r>
        <w:rPr>
          <w:rFonts w:ascii="Times New Roman" w:eastAsia="Calibri" w:hAnsi="Times New Roman" w:cs="Times New Roman"/>
          <w:kern w:val="0"/>
          <w:sz w:val="24"/>
          <w:szCs w:val="24"/>
          <w:lang w:eastAsia="pl-PL"/>
        </w:rPr>
        <w:t>n</w:t>
      </w:r>
      <w:proofErr w:type="spellEnd"/>
      <w:r w:rsidRPr="00105A12">
        <w:rPr>
          <w:rFonts w:ascii="Times New Roman" w:eastAsia="Calibri" w:hAnsi="Times New Roman" w:cs="Times New Roman"/>
          <w:kern w:val="0"/>
          <w:sz w:val="24"/>
          <w:szCs w:val="24"/>
          <w:lang w:eastAsia="pl-PL"/>
        </w:rPr>
        <w:t xml:space="preserve"> prowadzonych po konstrukcji nośnej paneli) umieszczone będą w ziemi. Nie przewiduje się znaczącego oddziaływania przedsięwzięcia w tym zakresie. </w:t>
      </w:r>
    </w:p>
    <w:p w:rsidR="00105A12" w:rsidRPr="00105A12" w:rsidRDefault="00105A12" w:rsidP="00105A12">
      <w:pPr>
        <w:widowControl/>
        <w:suppressAutoHyphens w:val="0"/>
        <w:autoSpaceDN/>
        <w:spacing w:after="0" w:line="240" w:lineRule="auto"/>
        <w:ind w:firstLine="567"/>
        <w:jc w:val="both"/>
        <w:textAlignment w:val="auto"/>
        <w:rPr>
          <w:rFonts w:eastAsia="Calibri" w:cs="Calibri"/>
          <w:kern w:val="0"/>
        </w:rPr>
      </w:pPr>
      <w:r w:rsidRPr="00105A12">
        <w:rPr>
          <w:rFonts w:ascii="Times New Roman" w:eastAsia="Times New Roman" w:hAnsi="Times New Roman" w:cs="Times New Roman"/>
          <w:kern w:val="0"/>
          <w:sz w:val="24"/>
          <w:szCs w:val="24"/>
          <w:lang w:eastAsia="pl-PL"/>
        </w:rPr>
        <w:t xml:space="preserve">Okres eksploatacji przedsięwzięcia wynosić będzie ok. 25-30 lat. Po tym okresie </w:t>
      </w:r>
      <w:r w:rsidRPr="00105A12">
        <w:rPr>
          <w:rFonts w:ascii="Times New Roman" w:eastAsia="Times New Roman" w:hAnsi="Times New Roman" w:cs="Times New Roman"/>
          <w:kern w:val="0"/>
          <w:sz w:val="24"/>
          <w:szCs w:val="24"/>
          <w:lang w:eastAsia="pl-PL"/>
        </w:rPr>
        <w:br/>
        <w:t xml:space="preserve">dojdzie do fizycznej likwidacji obiektów przedsięwzięcia. Instalacja fotowoltaiczna </w:t>
      </w:r>
      <w:r w:rsidRPr="00105A12">
        <w:rPr>
          <w:rFonts w:ascii="Times New Roman" w:eastAsia="Times New Roman" w:hAnsi="Times New Roman" w:cs="Times New Roman"/>
          <w:kern w:val="0"/>
          <w:sz w:val="24"/>
          <w:szCs w:val="24"/>
          <w:lang w:eastAsia="pl-PL"/>
        </w:rPr>
        <w:br/>
        <w:t xml:space="preserve">wraz z infrastrukturą towarzyszącą zostanie rozebrana, zezłomowana i zutylizowana, a teren inwestycji przywrócony do stanu sprzed budowy przedsięwzięcia. Wpływ przedsięwzięcia </w:t>
      </w:r>
      <w:r w:rsidRPr="00105A12">
        <w:rPr>
          <w:rFonts w:ascii="Times New Roman" w:eastAsia="Times New Roman" w:hAnsi="Times New Roman" w:cs="Times New Roman"/>
          <w:kern w:val="0"/>
          <w:sz w:val="24"/>
          <w:szCs w:val="24"/>
          <w:lang w:eastAsia="pl-PL"/>
        </w:rPr>
        <w:br/>
        <w:t xml:space="preserve">na środowisko podczas jego likwidacji, nie będzie większy niż na etapie jego budowy. </w:t>
      </w:r>
    </w:p>
    <w:p w:rsidR="00105A12" w:rsidRPr="00105A12" w:rsidRDefault="00105A12" w:rsidP="00105A12">
      <w:pPr>
        <w:widowControl/>
        <w:suppressAutoHyphens w:val="0"/>
        <w:autoSpaceDN/>
        <w:spacing w:after="0" w:line="240" w:lineRule="auto"/>
        <w:ind w:firstLine="567"/>
        <w:jc w:val="both"/>
        <w:textAlignment w:val="auto"/>
        <w:rPr>
          <w:rFonts w:eastAsia="Calibri" w:cs="Calibri"/>
          <w:kern w:val="0"/>
        </w:rPr>
      </w:pPr>
      <w:r w:rsidRPr="00105A12">
        <w:rPr>
          <w:rFonts w:ascii="Times New Roman" w:eastAsia="Times New Roman" w:hAnsi="Times New Roman" w:cs="Times New Roman"/>
          <w:kern w:val="0"/>
          <w:sz w:val="24"/>
          <w:szCs w:val="24"/>
          <w:lang w:eastAsia="pl-PL"/>
        </w:rPr>
        <w:t xml:space="preserve">W sąsiedztwie przedsięwzięcia planuje się budowę dwóch odrębnych farm fotowoltaicznych: na działce nr </w:t>
      </w:r>
      <w:r w:rsidRPr="00105A12">
        <w:rPr>
          <w:rFonts w:ascii="Times New Roman" w:eastAsia="Times New Roman" w:hAnsi="Times New Roman" w:cs="Arial"/>
          <w:kern w:val="0"/>
          <w:sz w:val="24"/>
          <w:szCs w:val="24"/>
          <w:lang w:eastAsia="pl-PL"/>
        </w:rPr>
        <w:t>116/3 obręb Tuplice, gmina Tuplice – farma "EPV</w:t>
      </w:r>
      <w:r w:rsidR="00160815">
        <w:rPr>
          <w:rFonts w:ascii="Times New Roman" w:eastAsia="Times New Roman" w:hAnsi="Times New Roman" w:cs="Arial"/>
          <w:kern w:val="0"/>
          <w:sz w:val="24"/>
          <w:szCs w:val="24"/>
          <w:lang w:eastAsia="pl-PL"/>
        </w:rPr>
        <w:t xml:space="preserve"> </w:t>
      </w:r>
      <w:r w:rsidRPr="00105A12">
        <w:rPr>
          <w:rFonts w:ascii="Times New Roman" w:eastAsia="Times New Roman" w:hAnsi="Times New Roman" w:cs="Arial"/>
          <w:kern w:val="0"/>
          <w:sz w:val="24"/>
          <w:szCs w:val="24"/>
          <w:lang w:eastAsia="pl-PL"/>
        </w:rPr>
        <w:t>Tuplice – 3" o mocy do 1,0 MW</w:t>
      </w:r>
      <w:r w:rsidRPr="00105A12">
        <w:rPr>
          <w:rFonts w:eastAsia="Calibri" w:cs="Calibri"/>
          <w:kern w:val="0"/>
        </w:rPr>
        <w:t xml:space="preserve"> </w:t>
      </w:r>
      <w:r w:rsidRPr="00105A12">
        <w:rPr>
          <w:rFonts w:ascii="Times New Roman" w:eastAsia="Times New Roman" w:hAnsi="Times New Roman" w:cs="Arial"/>
          <w:kern w:val="0"/>
          <w:sz w:val="24"/>
          <w:szCs w:val="24"/>
          <w:lang w:eastAsia="pl-PL"/>
        </w:rPr>
        <w:t>wraz z niezbędną infrastrukturą, oraz n</w:t>
      </w:r>
      <w:r w:rsidRPr="00105A12">
        <w:rPr>
          <w:rFonts w:ascii="Times New Roman" w:eastAsia="Times New Roman" w:hAnsi="Times New Roman" w:cs="Times New Roman"/>
          <w:kern w:val="0"/>
          <w:sz w:val="24"/>
          <w:szCs w:val="24"/>
          <w:lang w:eastAsia="pl-PL"/>
        </w:rPr>
        <w:t xml:space="preserve">a działce nr </w:t>
      </w:r>
      <w:r w:rsidRPr="00105A12">
        <w:rPr>
          <w:rFonts w:ascii="Times New Roman" w:eastAsia="Times New Roman" w:hAnsi="Times New Roman" w:cs="Arial"/>
          <w:kern w:val="0"/>
          <w:sz w:val="24"/>
          <w:szCs w:val="24"/>
          <w:lang w:eastAsia="pl-PL"/>
        </w:rPr>
        <w:t>116/3 obręb Tuplice, gmina Tuplice – farma "EPV Tuplice – 4" o mocy do 1,0 MW</w:t>
      </w:r>
      <w:r w:rsidRPr="00105A12">
        <w:rPr>
          <w:rFonts w:eastAsia="Calibri" w:cs="Calibri"/>
          <w:kern w:val="0"/>
        </w:rPr>
        <w:t xml:space="preserve"> </w:t>
      </w:r>
      <w:r w:rsidRPr="00105A12">
        <w:rPr>
          <w:rFonts w:ascii="Times New Roman" w:eastAsia="Times New Roman" w:hAnsi="Times New Roman" w:cs="Arial"/>
          <w:kern w:val="0"/>
          <w:sz w:val="24"/>
          <w:szCs w:val="24"/>
          <w:lang w:eastAsia="pl-PL"/>
        </w:rPr>
        <w:t>wraz z niezbędną infrastrukturą.</w:t>
      </w:r>
      <w:r w:rsidRPr="00105A12">
        <w:rPr>
          <w:rFonts w:ascii="Times New Roman" w:eastAsia="Times New Roman" w:hAnsi="Times New Roman" w:cs="Times New Roman"/>
          <w:kern w:val="0"/>
          <w:sz w:val="24"/>
          <w:szCs w:val="24"/>
          <w:lang w:eastAsia="pl-PL"/>
        </w:rPr>
        <w:t xml:space="preserve"> Z uwagi na powyższe, potencjalnie istnieje możliwość kumulowania się oddziaływań w zakresie emisji hałasu czy emisji zanieczyszczeń do powietrza, jednakże uwzględniając rodzaj i lokalizację inwestycji, brak jest przesłanek do stwierdzenia, iż będą</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to oddziaływania istotne.</w:t>
      </w:r>
    </w:p>
    <w:p w:rsidR="00105A12" w:rsidRPr="00105A12" w:rsidRDefault="00105A12" w:rsidP="00105A12">
      <w:pPr>
        <w:widowControl/>
        <w:suppressAutoHyphens w:val="0"/>
        <w:autoSpaceDN/>
        <w:spacing w:after="0" w:line="240" w:lineRule="auto"/>
        <w:ind w:firstLine="567"/>
        <w:jc w:val="both"/>
        <w:textAlignment w:val="auto"/>
        <w:rPr>
          <w:rFonts w:eastAsia="Calibri" w:cs="Calibri"/>
          <w:kern w:val="0"/>
        </w:rPr>
      </w:pPr>
      <w:r w:rsidRPr="00105A12">
        <w:rPr>
          <w:rFonts w:ascii="Times New Roman" w:eastAsia="Times New Roman" w:hAnsi="Times New Roman" w:cs="Times New Roman"/>
          <w:kern w:val="0"/>
          <w:sz w:val="24"/>
          <w:szCs w:val="24"/>
          <w:lang w:eastAsia="pl-PL"/>
        </w:rPr>
        <w:t>Przedsięwzięcie nie będzie zlokalizowane na obszarach o krajobrazie mającym znaczenie historyczne, kulturowe lub archeologiczne, na obszarach, na których standardy jakości środowiska zostały przekroczone, na obszarach ochrony uzdrowiskowej, na obszarach górskich lub leśnych, na obszarach wodno-błotnych oraz innych obszarach o płytkim zaleganiu wód podziemnych, na siedliskach łęgowych i w ujściach rzek, na obszarach wybrzeży</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i w środowisku morskim, na obszarach przylegających do jezior, na obszarach zagrożonych katastrofami naturalnymi (powodzie, wstrząsy sejsmiczne, osuwiska ziemi itp.), na obszarach objętych ochroną, w tym strefach ochronnych ujęć wód i obszarach ochronny zbiorników wód śródlądowych. Przedsięwzięcie usytuowane będzie poza obszarami głównych zbiorników wód podziemnych oraz poza obszarami szczególnego zagrożenia powodzią. </w:t>
      </w:r>
    </w:p>
    <w:p w:rsidR="00105A12" w:rsidRPr="00105A12" w:rsidRDefault="00105A12" w:rsidP="00105A12">
      <w:pPr>
        <w:widowControl/>
        <w:suppressAutoHyphens w:val="0"/>
        <w:autoSpaceDN/>
        <w:spacing w:after="0" w:line="240" w:lineRule="auto"/>
        <w:ind w:firstLine="567"/>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Arial"/>
          <w:kern w:val="0"/>
          <w:sz w:val="24"/>
          <w:szCs w:val="24"/>
          <w:lang w:eastAsia="pl-PL"/>
        </w:rPr>
        <w:t>Inwestycja zlokalizowana będzie na terenie Jednolitej Części Wód Podziemnych (</w:t>
      </w:r>
      <w:proofErr w:type="spellStart"/>
      <w:r w:rsidRPr="00105A12">
        <w:rPr>
          <w:rFonts w:ascii="Times New Roman" w:eastAsia="Times New Roman" w:hAnsi="Times New Roman" w:cs="Arial"/>
          <w:kern w:val="0"/>
          <w:sz w:val="24"/>
          <w:szCs w:val="24"/>
          <w:lang w:eastAsia="pl-PL"/>
        </w:rPr>
        <w:t>JCWPd</w:t>
      </w:r>
      <w:proofErr w:type="spellEnd"/>
      <w:r w:rsidRPr="00105A12">
        <w:rPr>
          <w:rFonts w:ascii="Times New Roman" w:eastAsia="Times New Roman" w:hAnsi="Times New Roman" w:cs="Arial"/>
          <w:kern w:val="0"/>
          <w:sz w:val="24"/>
          <w:szCs w:val="24"/>
          <w:lang w:eastAsia="pl-PL"/>
        </w:rPr>
        <w:t xml:space="preserve">): PLGW600076, której stan ilościowy i stan chemiczny oceniono jako dobry. Osiągnięcie celów środowiskowych dla ww. </w:t>
      </w:r>
      <w:proofErr w:type="spellStart"/>
      <w:r w:rsidRPr="00105A12">
        <w:rPr>
          <w:rFonts w:ascii="Times New Roman" w:eastAsia="Times New Roman" w:hAnsi="Times New Roman" w:cs="Arial"/>
          <w:kern w:val="0"/>
          <w:sz w:val="24"/>
          <w:szCs w:val="24"/>
          <w:lang w:eastAsia="pl-PL"/>
        </w:rPr>
        <w:t>JCWPd</w:t>
      </w:r>
      <w:proofErr w:type="spellEnd"/>
      <w:r w:rsidRPr="00105A12">
        <w:rPr>
          <w:rFonts w:ascii="Times New Roman" w:eastAsia="Times New Roman" w:hAnsi="Times New Roman" w:cs="Arial"/>
          <w:kern w:val="0"/>
          <w:sz w:val="24"/>
          <w:szCs w:val="24"/>
          <w:lang w:eastAsia="pl-PL"/>
        </w:rPr>
        <w:t xml:space="preserve"> oceniono jako niezagrożone. Przedsięwzięcie zlokalizowane będzie na terenie zlewni Jednolitej Części Wód Powierzchniowych (JCWP): Pstrąg (kod: RW6000171748729). Jest to naturalna część wód, </w:t>
      </w:r>
      <w:r w:rsidRPr="00105A12">
        <w:rPr>
          <w:rFonts w:ascii="Times New Roman" w:eastAsia="Times New Roman" w:hAnsi="Times New Roman" w:cs="Times New Roman"/>
          <w:kern w:val="0"/>
          <w:sz w:val="24"/>
          <w:szCs w:val="24"/>
          <w:lang w:eastAsia="pl-PL"/>
        </w:rPr>
        <w:t>których stan ogólny oceniono jako dobry, a osiągnięcie celów środowiskowych jako niezagrożone. Przedmiotowa JCWP jest monitorowana. Celem środowiskowym dla JCWP jest osiągnięcie dobrego stanu ekologicznego i dobrego stanu chemicznego wód.</w:t>
      </w:r>
    </w:p>
    <w:p w:rsidR="00105A12" w:rsidRPr="00105A12" w:rsidRDefault="00105A12" w:rsidP="00105A12">
      <w:pPr>
        <w:widowControl/>
        <w:suppressAutoHyphens w:val="0"/>
        <w:autoSpaceDN/>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Zgodnie z informacją zwartą w raporcie teren przedsięwzięcia jest użytkowany </w:t>
      </w:r>
      <w:r w:rsidRPr="00105A12">
        <w:rPr>
          <w:rFonts w:ascii="Times New Roman" w:eastAsia="Times New Roman" w:hAnsi="Times New Roman" w:cs="Times New Roman"/>
          <w:kern w:val="0"/>
          <w:sz w:val="24"/>
          <w:szCs w:val="24"/>
          <w:lang w:eastAsia="pl-PL"/>
        </w:rPr>
        <w:br/>
        <w:t>i utrzymywany w kulturze rolnej. W obszarze planowanej inwestycji dominują grunty orne. Większa cześć działek inwestycyjnych nie posiada urozmaiconej rzeźby i nie jest orograficznie eksponowana. Teren jest płaski, a skrajne różnice wysokości względnej sięgają ok. 1 m. Fizjografia terenu nie predysponuje elektrowni do postaci dominanty krajobrazowej.</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W sąsiedztwie znajdują się: </w:t>
      </w:r>
      <w:r w:rsidRPr="00105A12">
        <w:rPr>
          <w:rFonts w:ascii="Times New Roman" w:eastAsia="Times New Roman" w:hAnsi="Times New Roman" w:cs="Times New Roman"/>
          <w:spacing w:val="-4"/>
          <w:kern w:val="0"/>
          <w:sz w:val="24"/>
          <w:szCs w:val="24"/>
          <w:lang w:eastAsia="pl-PL"/>
        </w:rPr>
        <w:t xml:space="preserve">grunty orne i użytki zielone, tereny odłogowane ze spontanicznym zadrzewieniem, droga powiatowa, powierzchniowe i liniowe zadrzewienie śródpolne, drogi polne, stawy poeksploatacyjne oraz tereny okresowo podmokłe. </w:t>
      </w:r>
    </w:p>
    <w:p w:rsidR="00105A12" w:rsidRPr="00105A12" w:rsidRDefault="00105A12" w:rsidP="00105A12">
      <w:pPr>
        <w:widowControl/>
        <w:suppressAutoHyphens w:val="0"/>
        <w:autoSpaceDN/>
        <w:spacing w:after="0" w:line="240" w:lineRule="auto"/>
        <w:ind w:firstLine="567"/>
        <w:contextualSpacing/>
        <w:jc w:val="both"/>
        <w:textAlignment w:val="auto"/>
        <w:rPr>
          <w:rFonts w:ascii="Times New Roman" w:eastAsia="Times New Roman" w:hAnsi="Times New Roman" w:cs="Times New Roman"/>
          <w:spacing w:val="-4"/>
          <w:kern w:val="0"/>
          <w:sz w:val="24"/>
          <w:szCs w:val="24"/>
          <w:lang w:eastAsia="pl-PL"/>
        </w:rPr>
      </w:pPr>
      <w:r w:rsidRPr="00105A12">
        <w:rPr>
          <w:rFonts w:ascii="Times New Roman" w:eastAsia="Times New Roman" w:hAnsi="Times New Roman" w:cs="Times New Roman"/>
          <w:spacing w:val="-4"/>
          <w:kern w:val="0"/>
          <w:sz w:val="24"/>
          <w:szCs w:val="24"/>
          <w:lang w:eastAsia="pl-PL"/>
        </w:rPr>
        <w:t xml:space="preserve">Brak jest dużych kurtyn krajobrazowych w postaci lasu bądź dużego zadrzewienia. Perspektywy widokowe ograniczają pojedyncze drzewa i krzewy liniowych </w:t>
      </w:r>
      <w:proofErr w:type="spellStart"/>
      <w:r w:rsidRPr="00105A12">
        <w:rPr>
          <w:rFonts w:ascii="Times New Roman" w:eastAsia="Times New Roman" w:hAnsi="Times New Roman" w:cs="Times New Roman"/>
          <w:spacing w:val="-4"/>
          <w:kern w:val="0"/>
          <w:sz w:val="24"/>
          <w:szCs w:val="24"/>
          <w:lang w:eastAsia="pl-PL"/>
        </w:rPr>
        <w:t>zadrzewień</w:t>
      </w:r>
      <w:proofErr w:type="spellEnd"/>
      <w:r w:rsidRPr="00105A12">
        <w:rPr>
          <w:rFonts w:ascii="Times New Roman" w:eastAsia="Times New Roman" w:hAnsi="Times New Roman" w:cs="Times New Roman"/>
          <w:spacing w:val="-4"/>
          <w:kern w:val="0"/>
          <w:sz w:val="24"/>
          <w:szCs w:val="24"/>
          <w:lang w:eastAsia="pl-PL"/>
        </w:rPr>
        <w:t xml:space="preserve"> przydrożnych. Najdłuższe perspektywy sięgają ponad 1 km. Potencjalną linię widokową na teren inwestycji stanowi publiczna droga powiatowa pomiędzy Tuplicami i Łazami, a punkty widokowe mogą znajdować się w pobliskich Tuplicach, ok. 0,5 km od terenu inwestycji.  </w:t>
      </w:r>
    </w:p>
    <w:p w:rsidR="00105A12" w:rsidRPr="00105A12" w:rsidRDefault="00105A12" w:rsidP="00105A12">
      <w:pPr>
        <w:widowControl/>
        <w:suppressAutoHyphens w:val="0"/>
        <w:autoSpaceDN/>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Niemal wszystkie elementy infrastruktury technicznej planowanej elektrowni fotowoltaicznej będą prefabrykowane i znormalizowane. Będą one przywiezione na miejsce inwestycji i zainstalowane za pomocą maszyn, powszechnie stosowanych i znormalizowanych środowiskowo, oraz dzięki </w:t>
      </w:r>
      <w:r w:rsidRPr="00105A12">
        <w:rPr>
          <w:rFonts w:ascii="Times New Roman" w:eastAsia="Times New Roman" w:hAnsi="Times New Roman" w:cs="Times New Roman"/>
          <w:kern w:val="0"/>
          <w:sz w:val="24"/>
          <w:szCs w:val="24"/>
          <w:lang w:eastAsia="pl-PL"/>
        </w:rPr>
        <w:lastRenderedPageBreak/>
        <w:t>pracy ludzkiej. Bezpośredni dojazd do miejsca inwestycji odbywał się będzie po istniejących drogach. Nie jest planowana wycinka drzew i krzewów.</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Większość prac budowalnych, nie ma charakteru tradycyjnie pojmowanej budowy,</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ale  montażu, np. systemu konstrukcji podparć dla paneli, modułów fotowoltaicznych, linii przesyłowych i przyłącza, stacji transformatorowych, ogrodzenia dla całego terenu farmy, systemu monitoringu. Żaden z elementów elektrowni czy etapu jej budowy nie wymaga odwodnienia lub przerzutu wód.  </w:t>
      </w:r>
    </w:p>
    <w:p w:rsidR="00105A12" w:rsidRPr="00105A12" w:rsidRDefault="00105A12" w:rsidP="00105A12">
      <w:pPr>
        <w:widowControl/>
        <w:suppressAutoHyphens w:val="0"/>
        <w:autoSpaceDN/>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Planowane przedsięwzięcie ma być zlokalizowane w gruntach działek, które są położone: </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spacing w:val="-4"/>
          <w:kern w:val="0"/>
          <w:sz w:val="24"/>
          <w:szCs w:val="24"/>
          <w:lang w:eastAsia="pl-PL"/>
        </w:rPr>
      </w:pPr>
      <w:r w:rsidRPr="00105A12">
        <w:rPr>
          <w:rFonts w:ascii="Times New Roman" w:eastAsia="Times New Roman" w:hAnsi="Times New Roman" w:cs="Times New Roman"/>
          <w:spacing w:val="-4"/>
          <w:kern w:val="0"/>
          <w:sz w:val="24"/>
          <w:szCs w:val="24"/>
          <w:lang w:eastAsia="pl-PL"/>
        </w:rPr>
        <w:t>- w granicach Parku Krajobrazowym Łuk Mużakowa;</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spacing w:val="-4"/>
          <w:kern w:val="0"/>
          <w:sz w:val="24"/>
          <w:szCs w:val="24"/>
          <w:lang w:eastAsia="pl-PL"/>
        </w:rPr>
      </w:pPr>
      <w:r w:rsidRPr="00105A12">
        <w:rPr>
          <w:rFonts w:ascii="Times New Roman" w:eastAsia="Times New Roman" w:hAnsi="Times New Roman" w:cs="Times New Roman"/>
          <w:spacing w:val="-4"/>
          <w:kern w:val="0"/>
          <w:sz w:val="24"/>
          <w:szCs w:val="24"/>
          <w:lang w:eastAsia="pl-PL"/>
        </w:rPr>
        <w:t xml:space="preserve">- w odległości ok. 0,2 km od obszaru Natura 2000 Uroczyska Borów </w:t>
      </w:r>
      <w:proofErr w:type="spellStart"/>
      <w:r w:rsidRPr="00105A12">
        <w:rPr>
          <w:rFonts w:ascii="Times New Roman" w:eastAsia="Times New Roman" w:hAnsi="Times New Roman" w:cs="Times New Roman"/>
          <w:spacing w:val="-4"/>
          <w:kern w:val="0"/>
          <w:sz w:val="24"/>
          <w:szCs w:val="24"/>
          <w:lang w:eastAsia="pl-PL"/>
        </w:rPr>
        <w:t>Zasieckich</w:t>
      </w:r>
      <w:proofErr w:type="spellEnd"/>
      <w:r w:rsidRPr="00105A12">
        <w:rPr>
          <w:rFonts w:ascii="Times New Roman" w:eastAsia="Times New Roman" w:hAnsi="Times New Roman" w:cs="Times New Roman"/>
          <w:spacing w:val="-4"/>
          <w:kern w:val="0"/>
          <w:sz w:val="24"/>
          <w:szCs w:val="24"/>
          <w:lang w:eastAsia="pl-PL"/>
        </w:rPr>
        <w:t xml:space="preserve"> PLH080060;</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spacing w:val="-4"/>
          <w:kern w:val="0"/>
          <w:sz w:val="24"/>
          <w:szCs w:val="24"/>
          <w:lang w:eastAsia="pl-PL"/>
        </w:rPr>
      </w:pPr>
      <w:r w:rsidRPr="00105A12">
        <w:rPr>
          <w:rFonts w:ascii="Times New Roman" w:eastAsia="Times New Roman" w:hAnsi="Times New Roman" w:cs="Times New Roman"/>
          <w:spacing w:val="-4"/>
          <w:kern w:val="0"/>
          <w:sz w:val="24"/>
          <w:szCs w:val="24"/>
          <w:lang w:eastAsia="pl-PL"/>
        </w:rPr>
        <w:t>- w projektowanym, lądowym korytarzu ekologicznym o nazwie „Ziemia Lubuska – środek”, którego granice są obecnie aktualizowane, weryfikowane i ustalane, w oparciu o dane, których dysponentem jest Generalny Dyrektor Ochrony Środowiska;</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poza znanymi stanowiskami przedmiotów ochrony obszarów Natura 2000, nad którymi sprawuje nadzór Regionalny Dyrektor Ochrony Środowisk w Gorzowie Wielkopolskim;</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poza znanymi i uznanymi miejscami ochrony strefowej gatunków chronionych, wyznaczonymi przez Regionalnego Dyrektora Ochrony Środowisk w Gorzowie Wielkopolskim;</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w gruntach rolnych utrzymywanych w kulturze uprawy;</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poza wrażliwymi na antropopresję lasami starodrzewu,  obszarami przyjeziornymi i dolinami rzecznymi;</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poza stanowiskami przeżyciowymi zwierząt, jak np. zimowiska nietoperzy;</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poza terenem dolin rzecznych i rynien jeziornych, które stanowią w województwie lubuskim miejsca stwierdzeń cyklicznego gromadzenia się ptaków na długich, sezonowych przelotach;  </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poza śródpolnymi enklawami bioróżnorodności, np. zadrzewieniem, </w:t>
      </w:r>
      <w:proofErr w:type="spellStart"/>
      <w:r w:rsidRPr="00105A12">
        <w:rPr>
          <w:rFonts w:ascii="Times New Roman" w:eastAsia="Times New Roman" w:hAnsi="Times New Roman" w:cs="Times New Roman"/>
          <w:kern w:val="0"/>
          <w:sz w:val="24"/>
          <w:szCs w:val="24"/>
          <w:lang w:eastAsia="pl-PL"/>
        </w:rPr>
        <w:t>czyżniami</w:t>
      </w:r>
      <w:proofErr w:type="spellEnd"/>
      <w:r w:rsidRPr="00105A12">
        <w:rPr>
          <w:rFonts w:ascii="Times New Roman" w:eastAsia="Times New Roman" w:hAnsi="Times New Roman" w:cs="Times New Roman"/>
          <w:kern w:val="0"/>
          <w:sz w:val="24"/>
          <w:szCs w:val="24"/>
          <w:lang w:eastAsia="pl-PL"/>
        </w:rPr>
        <w:t xml:space="preserve">, szpalerami </w:t>
      </w:r>
      <w:r w:rsidRPr="00105A12">
        <w:rPr>
          <w:rFonts w:ascii="Times New Roman" w:eastAsia="Times New Roman" w:hAnsi="Times New Roman" w:cs="Times New Roman"/>
          <w:kern w:val="0"/>
          <w:sz w:val="24"/>
          <w:szCs w:val="24"/>
          <w:lang w:eastAsia="pl-PL"/>
        </w:rPr>
        <w:br/>
        <w:t xml:space="preserve">i alejami drzew;  </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pomiędzy antropogenicznymi, poeksploatacyjnymi zbiornikami wodnymi i w sąsiedztwie okresowo podmokłych użytków zielonych, które mogą stanowić stanowiska przeżyciowe </w:t>
      </w:r>
      <w:r w:rsidRPr="00105A12">
        <w:rPr>
          <w:rFonts w:ascii="Times New Roman" w:eastAsia="Times New Roman" w:hAnsi="Times New Roman" w:cs="Times New Roman"/>
          <w:kern w:val="0"/>
          <w:sz w:val="24"/>
          <w:szCs w:val="24"/>
          <w:lang w:eastAsia="pl-PL"/>
        </w:rPr>
        <w:br/>
        <w:t>i obszary migracyjne płazów (Staw Tuplicki 2, Tartaczny Staw, Staw Gajówka);</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w gruntach rolnych, utrzymywanych w kulturze uprawy, w których różnorodność biotyczna </w:t>
      </w:r>
      <w:r w:rsidRPr="00105A12">
        <w:rPr>
          <w:rFonts w:ascii="Times New Roman" w:eastAsia="Times New Roman" w:hAnsi="Times New Roman" w:cs="Times New Roman"/>
          <w:kern w:val="0"/>
          <w:sz w:val="24"/>
          <w:szCs w:val="24"/>
          <w:lang w:eastAsia="pl-PL"/>
        </w:rPr>
        <w:br/>
        <w:t xml:space="preserve">i funkcjonowanie ekosystemów miejsca i sąsiedztwa przedsięwzięcia zostały ograniczone </w:t>
      </w:r>
      <w:r w:rsidRPr="00105A12">
        <w:rPr>
          <w:rFonts w:ascii="Times New Roman" w:eastAsia="Times New Roman" w:hAnsi="Times New Roman" w:cs="Times New Roman"/>
          <w:kern w:val="0"/>
          <w:sz w:val="24"/>
          <w:szCs w:val="24"/>
          <w:lang w:eastAsia="pl-PL"/>
        </w:rPr>
        <w:br/>
        <w:t xml:space="preserve">do zbiorowisk siedlisk </w:t>
      </w:r>
      <w:proofErr w:type="spellStart"/>
      <w:r w:rsidRPr="00105A12">
        <w:rPr>
          <w:rFonts w:ascii="Times New Roman" w:eastAsia="Times New Roman" w:hAnsi="Times New Roman" w:cs="Times New Roman"/>
          <w:kern w:val="0"/>
          <w:sz w:val="24"/>
          <w:szCs w:val="24"/>
          <w:lang w:eastAsia="pl-PL"/>
        </w:rPr>
        <w:t>segetalnych</w:t>
      </w:r>
      <w:proofErr w:type="spellEnd"/>
      <w:r w:rsidRPr="00105A12">
        <w:rPr>
          <w:rFonts w:ascii="Times New Roman" w:eastAsia="Times New Roman" w:hAnsi="Times New Roman" w:cs="Times New Roman"/>
          <w:kern w:val="0"/>
          <w:sz w:val="24"/>
          <w:szCs w:val="24"/>
          <w:lang w:eastAsia="pl-PL"/>
        </w:rPr>
        <w:t>, gdzie walory i zasoby przyrodnicze oraz relacje ekosystemowe pozostają pod istotnym wpływem ludzkiej działalności;</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w sąsiedztwie gruntów rolnych, oferujących podobne warunki siedliskowe agrocenoz </w:t>
      </w:r>
      <w:r w:rsidRPr="00105A12">
        <w:rPr>
          <w:rFonts w:ascii="Times New Roman" w:eastAsia="Times New Roman" w:hAnsi="Times New Roman" w:cs="Times New Roman"/>
          <w:kern w:val="0"/>
          <w:sz w:val="24"/>
          <w:szCs w:val="24"/>
          <w:lang w:eastAsia="pl-PL"/>
        </w:rPr>
        <w:br/>
        <w:t xml:space="preserve">i </w:t>
      </w:r>
      <w:proofErr w:type="spellStart"/>
      <w:r w:rsidRPr="00105A12">
        <w:rPr>
          <w:rFonts w:ascii="Times New Roman" w:eastAsia="Times New Roman" w:hAnsi="Times New Roman" w:cs="Times New Roman"/>
          <w:kern w:val="0"/>
          <w:sz w:val="24"/>
          <w:szCs w:val="24"/>
          <w:lang w:eastAsia="pl-PL"/>
        </w:rPr>
        <w:t>pratocenoz</w:t>
      </w:r>
      <w:proofErr w:type="spellEnd"/>
      <w:r w:rsidRPr="00105A12">
        <w:rPr>
          <w:rFonts w:ascii="Times New Roman" w:eastAsia="Times New Roman" w:hAnsi="Times New Roman" w:cs="Times New Roman"/>
          <w:kern w:val="0"/>
          <w:sz w:val="24"/>
          <w:szCs w:val="24"/>
          <w:lang w:eastAsia="pl-PL"/>
        </w:rPr>
        <w:t xml:space="preserve"> jak w miejscu przedsięwzięcia, gdzie praktykowana jest uprawa rolna o krótkich cyklach uprawy;</w:t>
      </w:r>
    </w:p>
    <w:p w:rsidR="00105A12" w:rsidRPr="00105A12" w:rsidRDefault="00105A12" w:rsidP="00105A12">
      <w:pPr>
        <w:shd w:val="clear" w:color="auto" w:fill="FFFFFF"/>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w sąsiedztwie publicznej drogi powiatowej odcinka pomiędzy Tuplicami i Łazami.</w:t>
      </w:r>
    </w:p>
    <w:p w:rsidR="00105A12" w:rsidRPr="00105A12" w:rsidRDefault="00105A12" w:rsidP="00105A12">
      <w:pPr>
        <w:shd w:val="clear" w:color="auto" w:fill="FFFFFF"/>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W związku z powyższym niezbędnymi i podstawowymi zagadnieniami poddanymi ocenie było:</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ustalenie zgodności przedsięwzięcia z reżimem ochrony i celami ochrony Parku Krajobrazowego Łuk Mużakowa;</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wpływ budowy i eksploatacji na zasoby, twory i składniki przyrody miejsca przedsięwzięcia i jego sąsiedztwa;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ustalenie oddziaływań, skali i skutków oddziaływań przedsięwzięcia na zidentyfikowane elementy biotyczne i abiotyczne w terenie przedsięwzięcia i w obszarze jego oddziaływań, obejmujące bezpośrednie, pośrednie, wtórne, skumulowane, krótko-, średnio- </w:t>
      </w:r>
      <w:r w:rsidRPr="00105A12">
        <w:rPr>
          <w:rFonts w:ascii="Times New Roman" w:eastAsia="Times New Roman" w:hAnsi="Times New Roman" w:cs="Times New Roman"/>
          <w:kern w:val="0"/>
          <w:sz w:val="24"/>
          <w:szCs w:val="24"/>
          <w:lang w:eastAsia="pl-PL"/>
        </w:rPr>
        <w:br/>
        <w:t xml:space="preserve">i długoterminowe, stałe i chwilowe oddziaływania, dotyczące fazy przygotowania </w:t>
      </w:r>
      <w:r w:rsidRPr="00105A12">
        <w:rPr>
          <w:rFonts w:ascii="Times New Roman" w:eastAsia="Times New Roman" w:hAnsi="Times New Roman" w:cs="Times New Roman"/>
          <w:kern w:val="0"/>
          <w:sz w:val="24"/>
          <w:szCs w:val="24"/>
          <w:lang w:eastAsia="pl-PL"/>
        </w:rPr>
        <w:br/>
        <w:t xml:space="preserve">do eksploatacji, eksploatacji przedsięwzięcia, wreszcie jego likwidacji i </w:t>
      </w:r>
      <w:proofErr w:type="spellStart"/>
      <w:r w:rsidRPr="00105A12">
        <w:rPr>
          <w:rFonts w:ascii="Times New Roman" w:eastAsia="Times New Roman" w:hAnsi="Times New Roman" w:cs="Times New Roman"/>
          <w:kern w:val="0"/>
          <w:sz w:val="24"/>
          <w:szCs w:val="24"/>
          <w:lang w:eastAsia="pl-PL"/>
        </w:rPr>
        <w:t>renaturyzacji</w:t>
      </w:r>
      <w:proofErr w:type="spellEnd"/>
      <w:r w:rsidRPr="00105A12">
        <w:rPr>
          <w:rFonts w:ascii="Times New Roman" w:eastAsia="Times New Roman" w:hAnsi="Times New Roman" w:cs="Times New Roman"/>
          <w:kern w:val="0"/>
          <w:sz w:val="24"/>
          <w:szCs w:val="24"/>
          <w:lang w:eastAsia="pl-PL"/>
        </w:rPr>
        <w:t xml:space="preserve"> terenu;</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analiza skumulowanego efektu oddziaływań na zasoby, twory i składniki przyrody, związanego z obecnym zagospodarowaniem tych elementów w sąsiedztwie inwestycji;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analiza skumulowanego efektu oddziaływań, na zasoby, twory i składniki przyrody, związanego z innymi przedsięwzięciami w miejscu i w regionie;</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prognoza skutków oddziaływania przedsięwzięcia dla podmiotów gospodarujących zasobami przyrodniczymi w obszarze oddziaływania przedsięwzięcia;</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lastRenderedPageBreak/>
        <w:t xml:space="preserve">- analiza potencjału i przyczyn możliwych konfliktów społecznych, związanych ze stanem zasobów, tworów i składników przyrody i ich zmianą w wyniku budowy i eksploatacji przedsięwzięcia.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Przedłożony raport o oddziaływaniu przedsięwzięcia na środowisko, będący skutkiem oceny oddziaływania na środowisko, dostarcza charakterystyki obecnego zagospodarowania działek przedsięwzięcia, jego miejsca i otoczenia oraz oddziaływań dla okresu budowy</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i eksploatacji.</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Park Krajobrazowy Łuk Mużakowa został ustanowiony na podstawie ustawy o ochronie przyrody z dnia 16 kwietnia 2004 r. Ochronie podlegają tu wartości przyrodnicze, historyczne i kulturowe oraz walory krajobrazowe. Ustawowym celem ochrony jest zachowanie</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oraz popularyzacja wymienionych wartości w warunkach zrównoważonego rozwoju. Ocenie poddano relacje przedsięwzięcia z celem zachowania wartości przyrodniczych oraz walorów krajobrazowych. Szczególne cele ochrony Parku Krajobrazowego Łuk Mużakowa skupiają się na zachowaniu: mozaiki krajobrazowej, form geologicznych łuku moreny czołowej i doliny rzeki Nysy Łużyckiej i Skrody, lasów, zabytkowego założenia parkowego „Parku </w:t>
      </w:r>
      <w:proofErr w:type="spellStart"/>
      <w:r w:rsidRPr="00105A12">
        <w:rPr>
          <w:rFonts w:ascii="Times New Roman" w:eastAsia="Times New Roman" w:hAnsi="Times New Roman" w:cs="Times New Roman"/>
          <w:kern w:val="0"/>
          <w:sz w:val="24"/>
          <w:szCs w:val="24"/>
          <w:lang w:eastAsia="pl-PL"/>
        </w:rPr>
        <w:t>Mużakowskiego</w:t>
      </w:r>
      <w:proofErr w:type="spellEnd"/>
      <w:r w:rsidRPr="00105A12">
        <w:rPr>
          <w:rFonts w:ascii="Times New Roman" w:eastAsia="Times New Roman" w:hAnsi="Times New Roman" w:cs="Times New Roman"/>
          <w:kern w:val="0"/>
          <w:sz w:val="24"/>
          <w:szCs w:val="24"/>
          <w:lang w:eastAsia="pl-PL"/>
        </w:rPr>
        <w:t xml:space="preserve">”, starego budownictwa o cechach regionalnych oraz antropogenicznego krajobrazu powstałego wskutek eksploatacji węgla brunatnego. Budowa i eksploatacja elektrowni fotowoltaicznej będzie podjęta poza wymienionymi układami, stanowiskami, formami oraz biotopami tego parku krajobrazowego.  Lokalizacja przedsięwzięcia, w działkach nr 188/1, 188/2, 189, 190/3, 193 obręb Tuplice, którą wyżej scharakteryzowano, wskazuje </w:t>
      </w:r>
      <w:r w:rsidRPr="00105A12">
        <w:rPr>
          <w:rFonts w:ascii="Times New Roman" w:eastAsia="Times New Roman" w:hAnsi="Times New Roman" w:cs="Times New Roman"/>
          <w:kern w:val="0"/>
          <w:sz w:val="24"/>
          <w:szCs w:val="24"/>
          <w:lang w:eastAsia="pl-PL"/>
        </w:rPr>
        <w:br/>
        <w:t xml:space="preserve">na brak bezpośredniego wpływu na cele szczególne tej formy ochrony przyrody. Celom tym służy reżim ochronny parku, zawarty w uchwale Sejmiku Województwa Lubuskiego z dnia </w:t>
      </w:r>
      <w:r w:rsidRPr="00105A12">
        <w:rPr>
          <w:rFonts w:ascii="Times New Roman" w:eastAsia="Times New Roman" w:hAnsi="Times New Roman" w:cs="Times New Roman"/>
          <w:kern w:val="0"/>
          <w:sz w:val="24"/>
          <w:szCs w:val="24"/>
          <w:lang w:eastAsia="pl-PL"/>
        </w:rPr>
        <w:br/>
        <w:t>24 maja 2017 r. (Dz. Urz. Woj. Lubuskiego z dnia 30 maja 2017 r.,</w:t>
      </w:r>
      <w:r w:rsidRPr="00105A12">
        <w:rPr>
          <w:rFonts w:eastAsia="Calibri" w:cs="Calibri"/>
          <w:kern w:val="0"/>
        </w:rPr>
        <w:t xml:space="preserve"> </w:t>
      </w:r>
      <w:r w:rsidRPr="00105A12">
        <w:rPr>
          <w:rFonts w:ascii="Times New Roman" w:eastAsia="Times New Roman" w:hAnsi="Times New Roman" w:cs="Times New Roman"/>
          <w:kern w:val="0"/>
          <w:sz w:val="24"/>
          <w:szCs w:val="24"/>
          <w:lang w:eastAsia="pl-PL"/>
        </w:rPr>
        <w:t>poz. 126), dlatego analizowano relację przedsięwzięcia z zakresem obowiązujących tu zakazów. Przedsięwzięcie nie wymaga i nie spowoduje:</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umyślnego zabijania dziko występujących zwierząt, niszczenia ich nor, legowisk, innych schronień i miejsc rozrodu oraz tarlisk i złożonej ikry;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likwidowania, zasypywania i przekształcania zbiorników wodnych, starorzeczy </w:t>
      </w:r>
      <w:r w:rsidRPr="00105A12">
        <w:rPr>
          <w:rFonts w:ascii="Times New Roman" w:eastAsia="Times New Roman" w:hAnsi="Times New Roman" w:cs="Times New Roman"/>
          <w:kern w:val="0"/>
          <w:sz w:val="24"/>
          <w:szCs w:val="24"/>
          <w:lang w:eastAsia="pl-PL"/>
        </w:rPr>
        <w:br/>
        <w:t xml:space="preserve">oraz obszarów wodno-błotnych.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Przedsięwzięcie nie dotyczy: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pozyskiwania do celów gospodarczych skał, w tym torfu oraz skamieniałości, w tym kopalnych szczątków roślin i zwierząt, a także minerałów i bursztynu;</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wykonywania prac ziemnych trwale zniekształcających rzeźbę terenu;</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dokonywania zmian stosunków wodnych;</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chowu i hodowli zwierząt metodą bezściółkową;</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organizowania rajdów motorowych i samochodowych;</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używania łodzi motorowych i innego sprzętu motorowego na otwartych zbiornikach wodnych.</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Przedłożony raport i ocena oddziaływania na środowisko nie wykazały by przedsięwzięcie było niezgodne z powyższymi zakazami. Szczególnym zakresem przeprowadzonej procedury oceny oddziaływania na środowisko jest, w przypadku parku krajobrazowego i przedsięwzięć mogących potencjalnie oddziaływać na środowisko, relacja</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i skala wpływu przedsięwzięcia, nie tylko na przyrodę, ale także na krajobraz.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Miejsce przedsięwzięcia nie jest lokalną, tym bardziej regionalną, ostoją flory i fauny </w:t>
      </w:r>
      <w:r w:rsidRPr="00105A12">
        <w:rPr>
          <w:rFonts w:ascii="Times New Roman" w:eastAsia="Times New Roman" w:hAnsi="Times New Roman" w:cs="Times New Roman"/>
          <w:kern w:val="0"/>
          <w:sz w:val="24"/>
          <w:szCs w:val="24"/>
          <w:lang w:eastAsia="pl-PL"/>
        </w:rPr>
        <w:br/>
        <w:t>lub niepowtarzalnym stanowiskiem stałej ich obecności i przebywania, poza którym funkcjonowanie pojedynczych osobników lub ich zgrupowań nie jest możliwe, a której przekształcenie lub zmiana funkcji wpłynie negatywnie na jakikolwiek gatunek oraz układ ekosystemowy w stopniu decydującym o obniżeniu walorów krajobrazowych i przyrodniczych Parku Krajobrazowego Łuk Mużakowa. Biotopy nie są tu zróżnicowane, a złożoność</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i spektrum nisz siedliskowych nie jest tu efektem zaawansowanego oraz naturalnego procesu sukcesji. Wprost przeciwnie, są to układy regeneracyjne i adaptacyjne agrocenoz, pozostające pod wpływem  zmiennego w czasie i zakresie oddziaływania człowieka.</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Budowa i eksploatacja elektrowni fotowoltaicznej w miejscu upraw rolnych wymaga wprowadzenia w krajobraz rolniczy zabudowy o charakterze przemysłowym, co częściowo zmieni uwarunkowania jego funkcjonowania, ale bez wpływu na budujące ten typ krajobrazu ekosystemy, np. pola, łąki, miedze, szpalery, </w:t>
      </w:r>
      <w:proofErr w:type="spellStart"/>
      <w:r w:rsidRPr="00105A12">
        <w:rPr>
          <w:rFonts w:ascii="Times New Roman" w:eastAsia="Times New Roman" w:hAnsi="Times New Roman" w:cs="Times New Roman"/>
          <w:kern w:val="0"/>
          <w:sz w:val="24"/>
          <w:szCs w:val="24"/>
          <w:lang w:eastAsia="pl-PL"/>
        </w:rPr>
        <w:t>czyżnie</w:t>
      </w:r>
      <w:proofErr w:type="spellEnd"/>
      <w:r w:rsidRPr="00105A12">
        <w:rPr>
          <w:rFonts w:ascii="Times New Roman" w:eastAsia="Times New Roman" w:hAnsi="Times New Roman" w:cs="Times New Roman"/>
          <w:kern w:val="0"/>
          <w:sz w:val="24"/>
          <w:szCs w:val="24"/>
          <w:lang w:eastAsia="pl-PL"/>
        </w:rPr>
        <w:t xml:space="preserve">, rowy melioracyjne itp. Skala zmiany pejzażu i relacji widokowych, </w:t>
      </w:r>
      <w:r w:rsidRPr="00105A12">
        <w:rPr>
          <w:rFonts w:ascii="Times New Roman" w:eastAsia="Times New Roman" w:hAnsi="Times New Roman" w:cs="Times New Roman"/>
          <w:kern w:val="0"/>
          <w:sz w:val="24"/>
          <w:szCs w:val="24"/>
          <w:lang w:eastAsia="pl-PL"/>
        </w:rPr>
        <w:lastRenderedPageBreak/>
        <w:t>to jest obecnych warunków wizualno-estetycznych,</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będzie dotyczyła dużych perspektyw widokowych terenów otwartych, pozbawionych dużych kurtyn lasu bądź zadrzewienia. Przestrzenie widokowe  z linii widokowej drogi Tuplice i Łazy oraz z punktów widokowych wsi Tuplice sporadycznie ograniczają rzadkie zadrzewiania</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i zgrupowania krzewów. Teren inwestycji nie jest orograficznie eksponowany, co jest najbardziej istotnym atutem zmniejszania dysonansu obecnie homogenicznego pejzażu wsi tej części parku, który jest utrwalony w przestrzeni mentalnej mieszkańców, a w którym ma się pojawić instalacja o charakterze przemysłowym. Trwale zmieni się widok dla mieszkańców </w:t>
      </w:r>
      <w:r w:rsidRPr="00105A12">
        <w:rPr>
          <w:rFonts w:ascii="Times New Roman" w:eastAsia="Times New Roman" w:hAnsi="Times New Roman" w:cs="Times New Roman"/>
          <w:kern w:val="0"/>
          <w:sz w:val="24"/>
          <w:szCs w:val="24"/>
          <w:lang w:eastAsia="pl-PL"/>
        </w:rPr>
        <w:br/>
        <w:t xml:space="preserve">z północnej części wsi Tuplice, a odległość ok. 0,5 km od planowanej inwestycji będzie zmniejszać dysonans zmiany.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W miejscu przedsięwzięcia nie wyznaczono, z perspektywy celu parku krajobrazowego, strefy ochrony krajobrazu lub obszaru wyróżniającego się lokalną formą architektoniczną, która byłyby istotna dla zachowania walorów krajobrazowych Parku Krajobrazowego Łuk Mużakowa. Teren przedsięwzięcia nie posiada dominującej ekspozycji widokowej.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color w:val="FF0000"/>
          <w:kern w:val="0"/>
          <w:sz w:val="24"/>
          <w:szCs w:val="24"/>
          <w:lang w:eastAsia="pl-PL"/>
        </w:rPr>
      </w:pPr>
      <w:r w:rsidRPr="00105A12">
        <w:rPr>
          <w:rFonts w:ascii="Times New Roman" w:eastAsia="Times New Roman" w:hAnsi="Times New Roman" w:cs="Times New Roman"/>
          <w:kern w:val="0"/>
          <w:sz w:val="24"/>
          <w:szCs w:val="24"/>
          <w:lang w:eastAsia="pl-PL"/>
        </w:rPr>
        <w:t>Skala zmiany pejzażu będzie lokalnie znacząca. W mozaice krajobrazu pojawi się infrastruktura dotąd nie kojarzona z krajobrazem wsi. Pod tym względem będzie to istotna zmiana obecnego krajobrazu antropogenicznego, na niewielkiej, płaskiej powierzchni.</w:t>
      </w:r>
      <w:r w:rsidR="00160815">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Nie powstanie ponadlokalna dominanta krajobrazowa. Doświadczenie istniejących obiektów  wskazuje, że w odległości 50-100 m przestają stanowić element przysłonowy tła krajobrazu. Absorbują uwagę nie z powodu skali, ale obiektu nowego i obcego.</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Obszar działek przedsięwzięcia, w którym różnorodność biotyczna i zależności ekosystemowe ograniczone zostały do zbiorowisk upraw rolnych oraz zależą od intensywności i sezonowości zabiegów, nie stanowi unikatu, z perspektywy przyrody parku, którego zasoby, twory i składniki winny być trwale i szczególnie chronione. Teren przedsięwzięcia nie stanowi elementu specyficznego rodzaju układów ekologicznych, których przekształcenie, z przyczyn charakteru i położenia przedsięwzięcia, mogłoby być potraktowane jako mające niekorzystny wpływ na przyrodę, a w szczególności na cele parku krajobrazowego. W przedłożonej dokumentacji dotyczącej opisu zasobów przyrody dla terenu inwestycyjnego obszar ten scharakteryzowano jako teren o niewielkiej wartości przyrodniczej, w którym nie stwierdzono obecności gatunków chronionych roślin i zwierząt oraz siedlisk gatunków chronionych, co jest konsekwencją obecnego wykorzystania terenu. Nie stwierdzono tu miejsc lęgowych ptaków rzadkich, nie stwierdzono także ostoi i miejsc bytowania innych dzikich zwierząt. </w:t>
      </w:r>
      <w:r w:rsidRPr="00105A12">
        <w:rPr>
          <w:rFonts w:ascii="Times New Roman" w:eastAsia="Times New Roman" w:hAnsi="Times New Roman" w:cs="Times New Roman"/>
          <w:kern w:val="0"/>
          <w:sz w:val="24"/>
          <w:szCs w:val="24"/>
          <w:lang w:eastAsia="pl-PL"/>
        </w:rPr>
        <w:br/>
        <w:t>W związku z powyższym wnioskuje się, iż zamierzone przedsięwzięcie nie będzie miało znaczącego wpływu na zasoby przyrodnicze miejsca przedsięwzięcia oraz najbliższego sąsiedztwa. Realizacja przedmiotowej inwestycji z perspektywy ochrony przyrody będzie miała zasięg lokalny, a w odniesieniu do przyrody Parku Krajobrazowego Łuk Mużakowa,</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nie ma przesłanek mogących potwierdzić negatywny wpływ inwestycji na przyrodę.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Popularyzacja wartości przyrodniczych, historycznych, kulturowych i walorów krajobrazowych, jako jeden z celów parku, jest zadaniem służby parku krajobrazowego. Inwestycja zlokalizowana w działkach nr 188/1, 188/2, 189, 190/3 i 193 obrębu  Tuplice,</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nie będzie miała wpływu na podejmowane przez tę służbę działania.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Podsumowując, przeprowadzona procedura oceny oddziaływania na środowisko wykazała brak niekorzystnego wpływu na przyrodę i krajobraz parku krajobrazowego,</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co wypełnia przesłankę art. 17 ust. 3 ustawy z dnia 16 kwietnia 2004 r. o ochronie przyrody (Dz. U. z 2022 r., poz. 916). Z perspektywy ochrony przyrody Parku Krajobrazowego Łuk Mużakowa, to jest zachowania, zrównoważonego użytkowania oraz odnawiania jego zasobów, tworów i składników przyrody nie ma potrzeby formułowania indywidualnych uwarunkowań dla realizacji oraz eksploatacji inwestycji. Nie wykazano niezgodności z celem formy ochrony przyrody oraz reżimem ochrony, wytyczającym zasady gospodarowania. W trakcie budowy</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i eksploatacji żaden z zasobów, tworów i składników przyrody miejsca przedsięwzięcia</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oraz jego sąsiedztwa nie zostanie bezpowrotnie utracony i nadal możliwe będzie ich zachowanie, zrównoważone użytkowanie oraz odnawianie.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Miejsce inwestycji, znajdujące się w bliskości wsi Tuplice, położone jest poza obszarami Natura 2000, z których najbliższy to Uroczyska Borów </w:t>
      </w:r>
      <w:proofErr w:type="spellStart"/>
      <w:r w:rsidRPr="00105A12">
        <w:rPr>
          <w:rFonts w:ascii="Times New Roman" w:eastAsia="Times New Roman" w:hAnsi="Times New Roman" w:cs="Times New Roman"/>
          <w:kern w:val="0"/>
          <w:sz w:val="24"/>
          <w:szCs w:val="24"/>
          <w:lang w:eastAsia="pl-PL"/>
        </w:rPr>
        <w:t>Zasieckich</w:t>
      </w:r>
      <w:proofErr w:type="spellEnd"/>
      <w:r w:rsidRPr="00105A12">
        <w:rPr>
          <w:rFonts w:ascii="Times New Roman" w:eastAsia="Times New Roman" w:hAnsi="Times New Roman" w:cs="Times New Roman"/>
          <w:kern w:val="0"/>
          <w:sz w:val="24"/>
          <w:szCs w:val="24"/>
          <w:lang w:eastAsia="pl-PL"/>
        </w:rPr>
        <w:t xml:space="preserve"> PLH080060 – w odległości ok. 0,2 </w:t>
      </w:r>
      <w:r w:rsidRPr="00105A12">
        <w:rPr>
          <w:rFonts w:ascii="Times New Roman" w:eastAsia="Times New Roman" w:hAnsi="Times New Roman" w:cs="Times New Roman"/>
          <w:kern w:val="0"/>
          <w:sz w:val="24"/>
          <w:szCs w:val="24"/>
          <w:lang w:eastAsia="pl-PL"/>
        </w:rPr>
        <w:lastRenderedPageBreak/>
        <w:t>km od wymienionego obszaru. Przedmioty ochrony ogniskują głównie wokół siedlisk leśnych, wodnych i wodno-błotnych. Siedliska przyrodnicze, z listy przedmiotów ochrony,</w:t>
      </w:r>
      <w:r w:rsidR="004A4CAB">
        <w:rPr>
          <w:rFonts w:ascii="Times New Roman" w:eastAsia="Times New Roman" w:hAnsi="Times New Roman" w:cs="Times New Roman"/>
          <w:kern w:val="0"/>
          <w:sz w:val="24"/>
          <w:szCs w:val="24"/>
          <w:lang w:eastAsia="pl-PL"/>
        </w:rPr>
        <w:t xml:space="preserve"> t</w:t>
      </w:r>
      <w:r w:rsidRPr="00105A12">
        <w:rPr>
          <w:rFonts w:ascii="Times New Roman" w:eastAsia="Times New Roman" w:hAnsi="Times New Roman" w:cs="Times New Roman"/>
          <w:kern w:val="0"/>
          <w:sz w:val="24"/>
          <w:szCs w:val="24"/>
          <w:lang w:eastAsia="pl-PL"/>
        </w:rPr>
        <w:t xml:space="preserve">o przede wszystkim różnej postaci ekosystemy wód, torfowisk i lasów. Z nimi są związane gatunki zwierząt, z listy przedmiotów ochrony, tego obszaru Natura 2000.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Planowane przedsięwzięcie nie wymaga, ani nie spowoduje w tym obszarze: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fragmentacji siedlisk chronionych oraz nie zmieni ich powierzchni;</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zmiany kluczowych procesów i związków kształtujących strukturę obszaru;</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przebudowy zespołów i zgrupowań gatunków;</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zakłócenia relacji ekosystemowych;</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intensyfikacji zagrożeń dla utrzymania właściwego stanu ochrony gatunków i ich siedlisk;</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trwałej bariery migracji;</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zagrożenia dla utrzymania właściwego stanu ochrony siedlisk i gatunków.</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Działki przedsięwzięcia nie są powiązaną ekosystemowo, w sposób kluczowy, </w:t>
      </w:r>
      <w:r w:rsidRPr="00105A12">
        <w:rPr>
          <w:rFonts w:ascii="Times New Roman" w:eastAsia="Times New Roman" w:hAnsi="Times New Roman" w:cs="Times New Roman"/>
          <w:kern w:val="0"/>
          <w:sz w:val="24"/>
          <w:szCs w:val="24"/>
          <w:lang w:eastAsia="pl-PL"/>
        </w:rPr>
        <w:br/>
        <w:t xml:space="preserve">z przedmiotami ochrony obszaru Natura 2000 Uroczyska Borów </w:t>
      </w:r>
      <w:proofErr w:type="spellStart"/>
      <w:r w:rsidRPr="00105A12">
        <w:rPr>
          <w:rFonts w:ascii="Times New Roman" w:eastAsia="Times New Roman" w:hAnsi="Times New Roman" w:cs="Times New Roman"/>
          <w:kern w:val="0"/>
          <w:sz w:val="24"/>
          <w:szCs w:val="24"/>
          <w:lang w:eastAsia="pl-PL"/>
        </w:rPr>
        <w:t>Zasieckich</w:t>
      </w:r>
      <w:proofErr w:type="spellEnd"/>
      <w:r w:rsidRPr="00105A12">
        <w:rPr>
          <w:rFonts w:ascii="Times New Roman" w:eastAsia="Times New Roman" w:hAnsi="Times New Roman" w:cs="Times New Roman"/>
          <w:kern w:val="0"/>
          <w:sz w:val="24"/>
          <w:szCs w:val="24"/>
          <w:lang w:eastAsia="pl-PL"/>
        </w:rPr>
        <w:t xml:space="preserve"> PLH080060. Zmiana zagospodarowania, polegająca na zaniechaniu tradycyjnej uprawy, a wprowadzająca zespół instalacji fotowoltaicznych oraz całoroczne utrzymywanie niskiej roślinności zielnej, okresowo koszonej, nie zmieni obecnych relacji z chronionym siedliskami przyrodniczymi</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i chronionym gatunkami. W terenie przedsięwzięcia, na obecnym etapie sprawy, nie wykazano obecności siedlisk bądź sposobu użytkowania, które współtworzyłyby taki rodzaj układów ekologicznych, z chronionymi siedliskami i gatunkami obszarów Natura 2000, których zmiana i przekształcenie mogłoby przyczynić się do zmiany kluczowych procesów, struktur, powiązań i relacji ekosystemowych tego obszaru ochrony przyrody.</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Projektowany, lądowy korytarz ekologiczny o nazwie „Ziemia Lubuska – środek”, obejmuje przede wszystkim rozległe powierzchnie leśne tej części województwa, a działki inwestycyjne znajdują się poza nimi, w bezleśnej enklawie gruntów rolnych wsi Tuplice.</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Teren inwestycji położony jest z dala od lasu. Nie ma tu liniowych bądź płatowych biotopów migracyjnych sprzyjających migracji dużych zwierząt. Budowa, a przede wszystkim eksploatacja elektrowni, z racji ogrodzenia, będą stanowiły trwałą przeszkodę migracji</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dla dużych zwierząt. Nie spowoduje ona nieprzekraczalnej bariery migracji uniemożliwiającej migrację w przestrzeni i w różnym czasie, a skutkującej izolacją populacji jakiegokolwiek gatunku. Ogrodzenie elektrowni skumuluje oddziaływanie przeszkodowe z odcinkiem istniejącej drogi powiatowej dla tych zwierząt i części zwierząt średnich. Dla tego rodzaju oddziaływania nie ma możliwości minimalizacji, ale nie będzie ono miało skutku w postaci bariery migracji.</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Powierzchnia działek inwestycyjnych znajduje się pomiędzy antropogenicznymi, poeksploatacyjnymi zbiornikami wodnymi, takimi jak: Staw Tuplicki 2, Tartaczny Staw,</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Staw Gajówka. W sąsiedztwie pojawiają się, na użytkach zielonych, okresowe </w:t>
      </w:r>
      <w:proofErr w:type="spellStart"/>
      <w:r w:rsidRPr="00105A12">
        <w:rPr>
          <w:rFonts w:ascii="Times New Roman" w:eastAsia="Times New Roman" w:hAnsi="Times New Roman" w:cs="Times New Roman"/>
          <w:kern w:val="0"/>
          <w:sz w:val="24"/>
          <w:szCs w:val="24"/>
          <w:lang w:eastAsia="pl-PL"/>
        </w:rPr>
        <w:t>podmokliska</w:t>
      </w:r>
      <w:proofErr w:type="spellEnd"/>
      <w:r w:rsidRPr="00105A12">
        <w:rPr>
          <w:rFonts w:ascii="Times New Roman" w:eastAsia="Times New Roman" w:hAnsi="Times New Roman" w:cs="Times New Roman"/>
          <w:kern w:val="0"/>
          <w:sz w:val="24"/>
          <w:szCs w:val="24"/>
          <w:lang w:eastAsia="pl-PL"/>
        </w:rPr>
        <w:t xml:space="preserve">. Biotopy te mogą stanowić obszary bytności płazów oraz innych zwierząt małych i średnich. Miejsce przedsięwzięcia, w okolicznościach takiego otoczenia, może być terenem migracji tych zwierząt, któremu dotychczasowe użytkowanie nie sprzyjało. W okresie eksploatacji elektrowni, planuje się w tym terenie utrzymywanie użytku zielonego o postaci łąki trwałej.  Będzie on kolonizowany i zasiedlany przez te zwierzęta. Mając to na uwadze, inwestor zaproponował rozwiązanie sprzyjające tym dwóm procesom i minimalizujące oddziaływanie przeszkodowe pomiędzy śródpolnym i śródleśnym wyspom bioróżnorodności, które współtworzą wymienione zbiorniki wodne i tereny okresowo podmokłe.  Regionalny Dyrektor Ochrony Środowiska w Gorzowie Wielkopolskim uznał tę propozycję za uzasadnioną </w:t>
      </w:r>
      <w:r w:rsidRPr="00105A12">
        <w:rPr>
          <w:rFonts w:ascii="Times New Roman" w:eastAsia="Times New Roman" w:hAnsi="Times New Roman" w:cs="Times New Roman"/>
          <w:kern w:val="0"/>
          <w:sz w:val="24"/>
          <w:szCs w:val="24"/>
          <w:lang w:eastAsia="pl-PL"/>
        </w:rPr>
        <w:br/>
        <w:t>i sformułował warunek dla realizacji inwestycji o treści:</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ogrodzenie elektrowni fotowoltaicznej montować bez podmurówki z zachowaniem wolnej przestrzeni, o wysokości minimum piętnastu centymetrów, nad gruntem.</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Działanie to jest uzasadnione stwierdzeniem obecności biotopów zwierząt małych i średnich </w:t>
      </w:r>
      <w:r w:rsidRPr="00105A12">
        <w:rPr>
          <w:rFonts w:ascii="Times New Roman" w:eastAsia="Times New Roman" w:hAnsi="Times New Roman" w:cs="Times New Roman"/>
          <w:kern w:val="0"/>
          <w:sz w:val="24"/>
          <w:szCs w:val="24"/>
          <w:lang w:eastAsia="pl-PL"/>
        </w:rPr>
        <w:br/>
        <w:t xml:space="preserve">w sąsiedztwie terenu inwestycji. Taki montaż jest wystarczający dla małych ssaków, w tym lisa i zająca, a zastosowanie płotów ażurowych, np. z siatki o dużych, zwykle sprzyja pozostałym, mniejszym zwierzętom.  Specyficzne użytkowanie powierzchni pod panelami utrwali siedliska dla gadów, np. jaszczurki zwinki lub padalca, których występowanie ograniczały dotąd zabiegi uprawy gleby, </w:t>
      </w:r>
      <w:r w:rsidRPr="00105A12">
        <w:rPr>
          <w:rFonts w:ascii="Times New Roman" w:eastAsia="Times New Roman" w:hAnsi="Times New Roman" w:cs="Times New Roman"/>
          <w:kern w:val="0"/>
          <w:sz w:val="24"/>
          <w:szCs w:val="24"/>
          <w:lang w:eastAsia="pl-PL"/>
        </w:rPr>
        <w:lastRenderedPageBreak/>
        <w:t>jak np. orka, bronowanie, włókowanie. Zabudowa utrudni, a możliwe, że całkowicie ograniczy przestrzeń spoczynku dla dużych, migrujących ptaków, które</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na długodystansowych wędrówkach gromadzą się w grupy. Dla ptaków małych, np. szpaków nie będzie to uciążliwość, a koszona lub niewykoszona ruń roślin zielnych będzie wzbogacać obszar żerowania i dietę.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Obecnie, miejsce przedsięwzięcia nie jest lokalną, a tym bardziej regionalną, ostoją przyrody lub niepowtarzalnym miejscem stałego przebywania zwierząt, roślin lub grzybów, poza którym funkcjonowanie pojedynczych osobników lub ich zgrupowań nie jest możliwe,</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a której przekształcenie lub zmiana funkcji wpłynie negatywnie na cały gatunek i jego stan. Wartość przyrodnicza terenu jest typowa dla użytkowanej agrocenozy i </w:t>
      </w:r>
      <w:proofErr w:type="spellStart"/>
      <w:r w:rsidRPr="00105A12">
        <w:rPr>
          <w:rFonts w:ascii="Times New Roman" w:eastAsia="Times New Roman" w:hAnsi="Times New Roman" w:cs="Times New Roman"/>
          <w:kern w:val="0"/>
          <w:sz w:val="24"/>
          <w:szCs w:val="24"/>
          <w:lang w:eastAsia="pl-PL"/>
        </w:rPr>
        <w:t>pratocenozy</w:t>
      </w:r>
      <w:proofErr w:type="spellEnd"/>
      <w:r w:rsidRPr="00105A12">
        <w:rPr>
          <w:rFonts w:ascii="Times New Roman" w:eastAsia="Times New Roman" w:hAnsi="Times New Roman" w:cs="Times New Roman"/>
          <w:kern w:val="0"/>
          <w:sz w:val="24"/>
          <w:szCs w:val="24"/>
          <w:lang w:eastAsia="pl-PL"/>
        </w:rPr>
        <w:t xml:space="preserve">, których  różnorodność biotyczna i zależności ekosystemowe ograniczone zostały do zbiorowisk </w:t>
      </w:r>
      <w:proofErr w:type="spellStart"/>
      <w:r w:rsidRPr="00105A12">
        <w:rPr>
          <w:rFonts w:ascii="Times New Roman" w:eastAsia="Times New Roman" w:hAnsi="Times New Roman" w:cs="Times New Roman"/>
          <w:kern w:val="0"/>
          <w:sz w:val="24"/>
          <w:szCs w:val="24"/>
          <w:lang w:eastAsia="pl-PL"/>
        </w:rPr>
        <w:t>segatalnych</w:t>
      </w:r>
      <w:proofErr w:type="spellEnd"/>
      <w:r w:rsidRPr="00105A12">
        <w:rPr>
          <w:rFonts w:ascii="Times New Roman" w:eastAsia="Times New Roman" w:hAnsi="Times New Roman" w:cs="Times New Roman"/>
          <w:kern w:val="0"/>
          <w:sz w:val="24"/>
          <w:szCs w:val="24"/>
          <w:lang w:eastAsia="pl-PL"/>
        </w:rPr>
        <w:t xml:space="preserve"> upraw rolnych, a te są zależne od intensywności i sezonowości tych upraw. Przedsięwzięcie nie będzie miało znacząco negatywnego wpływu na przyrodę, w szczególności ochronę przyrody, to jest na zachowanie, zrównoważone użytkowanie oraz odnawianie  zasobów,  tworów  i składników przyrody.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Przyroda i powiązania ekosystemowe miejsca przedsięwzięcia zostały tu ograniczone </w:t>
      </w:r>
      <w:r w:rsidRPr="00105A12">
        <w:rPr>
          <w:rFonts w:ascii="Times New Roman" w:eastAsia="Times New Roman" w:hAnsi="Times New Roman" w:cs="Times New Roman"/>
          <w:kern w:val="0"/>
          <w:sz w:val="24"/>
          <w:szCs w:val="24"/>
          <w:lang w:eastAsia="pl-PL"/>
        </w:rPr>
        <w:br/>
        <w:t xml:space="preserve">do siedlisk </w:t>
      </w:r>
      <w:proofErr w:type="spellStart"/>
      <w:r w:rsidRPr="00105A12">
        <w:rPr>
          <w:rFonts w:ascii="Times New Roman" w:eastAsia="Times New Roman" w:hAnsi="Times New Roman" w:cs="Times New Roman"/>
          <w:kern w:val="0"/>
          <w:sz w:val="24"/>
          <w:szCs w:val="24"/>
          <w:lang w:eastAsia="pl-PL"/>
        </w:rPr>
        <w:t>segetalnych</w:t>
      </w:r>
      <w:proofErr w:type="spellEnd"/>
      <w:r w:rsidRPr="00105A12">
        <w:rPr>
          <w:rFonts w:ascii="Times New Roman" w:eastAsia="Times New Roman" w:hAnsi="Times New Roman" w:cs="Times New Roman"/>
          <w:kern w:val="0"/>
          <w:sz w:val="24"/>
          <w:szCs w:val="24"/>
          <w:lang w:eastAsia="pl-PL"/>
        </w:rPr>
        <w:t xml:space="preserve"> trwałej agrocenozy i </w:t>
      </w:r>
      <w:proofErr w:type="spellStart"/>
      <w:r w:rsidRPr="00105A12">
        <w:rPr>
          <w:rFonts w:ascii="Times New Roman" w:eastAsia="Times New Roman" w:hAnsi="Times New Roman" w:cs="Times New Roman"/>
          <w:kern w:val="0"/>
          <w:sz w:val="24"/>
          <w:szCs w:val="24"/>
          <w:lang w:eastAsia="pl-PL"/>
        </w:rPr>
        <w:t>pratocenozy</w:t>
      </w:r>
      <w:proofErr w:type="spellEnd"/>
      <w:r w:rsidRPr="00105A12">
        <w:rPr>
          <w:rFonts w:ascii="Times New Roman" w:eastAsia="Times New Roman" w:hAnsi="Times New Roman" w:cs="Times New Roman"/>
          <w:kern w:val="0"/>
          <w:sz w:val="24"/>
          <w:szCs w:val="24"/>
          <w:lang w:eastAsia="pl-PL"/>
        </w:rPr>
        <w:t xml:space="preserve">, której charakter jest uzależniony </w:t>
      </w:r>
      <w:r w:rsidRPr="00105A12">
        <w:rPr>
          <w:rFonts w:ascii="Times New Roman" w:eastAsia="Times New Roman" w:hAnsi="Times New Roman" w:cs="Times New Roman"/>
          <w:kern w:val="0"/>
          <w:sz w:val="24"/>
          <w:szCs w:val="24"/>
          <w:lang w:eastAsia="pl-PL"/>
        </w:rPr>
        <w:br/>
        <w:t>od potrzeb, rytmu i kultury uprawy. Taka postać przyrody nie wyróżnia się wśród otoczenia pól i łąk, a z perspektywy ochrony przyrody jest powszechna, nie stanowi unikatu i fenomenu, którego zasoby, twory lub składniki winny być szczególnie chronione. Nie stwierdzono</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by teren przedsięwzięcia stanowił element specyficznego rodzaju układów ekologicznych</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i krajobrazu, tu rozumianego jako jednostka o ponad</w:t>
      </w:r>
      <w:r w:rsidR="004A4CAB">
        <w:rPr>
          <w:rFonts w:ascii="Times New Roman" w:eastAsia="Times New Roman" w:hAnsi="Times New Roman" w:cs="Times New Roman"/>
          <w:kern w:val="0"/>
          <w:sz w:val="24"/>
          <w:szCs w:val="24"/>
          <w:lang w:eastAsia="pl-PL"/>
        </w:rPr>
        <w:t xml:space="preserve"> </w:t>
      </w:r>
      <w:proofErr w:type="spellStart"/>
      <w:r w:rsidRPr="00105A12">
        <w:rPr>
          <w:rFonts w:ascii="Times New Roman" w:eastAsia="Times New Roman" w:hAnsi="Times New Roman" w:cs="Times New Roman"/>
          <w:kern w:val="0"/>
          <w:sz w:val="24"/>
          <w:szCs w:val="24"/>
          <w:lang w:eastAsia="pl-PL"/>
        </w:rPr>
        <w:t>ekosytemowej</w:t>
      </w:r>
      <w:proofErr w:type="spellEnd"/>
      <w:r w:rsidRPr="00105A12">
        <w:rPr>
          <w:rFonts w:ascii="Times New Roman" w:eastAsia="Times New Roman" w:hAnsi="Times New Roman" w:cs="Times New Roman"/>
          <w:kern w:val="0"/>
          <w:sz w:val="24"/>
          <w:szCs w:val="24"/>
          <w:lang w:eastAsia="pl-PL"/>
        </w:rPr>
        <w:t xml:space="preserve"> organizacji przyrody, których przekształcenie, z przyczyn charakteru i położenia przedsięwzięcia, mogłoby być potraktowane jako mające niekorzystny wpływ na przyrodę.</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Biotop pól i łąk, w tym wypadku w gruntach klas niższych niż III, nie jest tu silnie zróżnicowany, a złożoność i spektrum nisz siedliskowych nie jest tu efektem zaawansowanego i naturalnego procesu sukcesji. Są to układy regeneracyjne i adaptacyjne, pozostające</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pod wpływem zmiennego w czasie i w zakresie oddziaływania człowieka. Stąd też możliwa obecność gatunków powszechnych, bardziej </w:t>
      </w:r>
      <w:proofErr w:type="spellStart"/>
      <w:r w:rsidRPr="00105A12">
        <w:rPr>
          <w:rFonts w:ascii="Times New Roman" w:eastAsia="Times New Roman" w:hAnsi="Times New Roman" w:cs="Times New Roman"/>
          <w:kern w:val="0"/>
          <w:sz w:val="24"/>
          <w:szCs w:val="24"/>
          <w:lang w:eastAsia="pl-PL"/>
        </w:rPr>
        <w:t>eurytopowych</w:t>
      </w:r>
      <w:proofErr w:type="spellEnd"/>
      <w:r w:rsidRPr="00105A12">
        <w:rPr>
          <w:rFonts w:ascii="Times New Roman" w:eastAsia="Times New Roman" w:hAnsi="Times New Roman" w:cs="Times New Roman"/>
          <w:kern w:val="0"/>
          <w:sz w:val="24"/>
          <w:szCs w:val="24"/>
          <w:lang w:eastAsia="pl-PL"/>
        </w:rPr>
        <w:t xml:space="preserve"> niż rzadkich </w:t>
      </w:r>
      <w:proofErr w:type="spellStart"/>
      <w:r w:rsidRPr="00105A12">
        <w:rPr>
          <w:rFonts w:ascii="Times New Roman" w:eastAsia="Times New Roman" w:hAnsi="Times New Roman" w:cs="Times New Roman"/>
          <w:kern w:val="0"/>
          <w:sz w:val="24"/>
          <w:szCs w:val="24"/>
          <w:lang w:eastAsia="pl-PL"/>
        </w:rPr>
        <w:t>stenobiontów</w:t>
      </w:r>
      <w:proofErr w:type="spellEnd"/>
      <w:r w:rsidRPr="00105A12">
        <w:rPr>
          <w:rFonts w:ascii="Times New Roman" w:eastAsia="Times New Roman" w:hAnsi="Times New Roman" w:cs="Times New Roman"/>
          <w:kern w:val="0"/>
          <w:sz w:val="24"/>
          <w:szCs w:val="24"/>
          <w:lang w:eastAsia="pl-PL"/>
        </w:rPr>
        <w:t>,</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dla których chwilowe zniszczenie części takiego siedliska nie będzie stanowić utraty jedynych nisz życiowych.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Nie sygnalizowano obecności ostoi gatunków chronionych, co jest konsekwencją charakteru wykorzystania terenu. Nie zidentyfikowano wątpliwości w zakresie oddziaływań</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na gatunki chronione, a tym bardziej potrzeby formułowania uwarunkowania z zakresu ochrony gatunkowej zwierząt, roślin i grzybów, które wykraczałoby poza rozwiązania prawne ochrony gatunkowej. Nie stwierdzono wrażliwych ostoi i miejsc bytowania innych dzikich zwierząt wymagających szczególnych uwarunkowań, niesformułowanych w prawie ochrony przyrody. Nie jest to ponadlokalna ostoja bioróżnorodności, której bogactwo wyróżnia ją z terenów sąsiednich.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Rozpatrywano domniemane oddziaływanie na ptaki z tytułu tzw. zanieczyszczeń wizualnych, np. olśnienia oraz efektu fałszywego lustra wody. W chwili obecnej zakłada się, że takie oddziaływanie przypuszczalnie istnieje, jednak potwierdzający materiał dowodowy jest znikomy, dlatego też skutki oddziaływań, np. kalectwo i śmiertelność ptaków, osłabienie osobnicze i populacji pozostają w sferze przypuszczeń. Mimo obecnych instalacji solarnych</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w województwie lubuskim nie zgłoszono dotąd szkody w środowisku bądź potencjalnej szkody w środowisku z zakresu oddziaływania na gatunki chronione zwierząt z tytułu domniemanego zjawiska fałszywego lustra wody i omyłkowego lądowania ptaków, skutkującego kontuzjami lub śmiertelnością. Standardowe obecnie, a motywowane sprawnością pochłaniania promieniowania słonecznego, są powłoki antyrefleksyjne wbudowane w ogniwa solarne, pokryte teksturowanym, antyrefleksyjnym szkłem. Problematykę zanieczyszczeń wizualnych można także odnieść do kilkudziesięcioletniego doświadczenia wielkopowierzchniowych szklarni ogrodniczych, a ostatnio także upraw rolniczych realizowanych pod osłoną szkła lub folii. I w tym względzie doświadczenie skutków domniemanego oddziaływania, w postaci kalectwa i śmiertelność wędrujących ptaków środowisk wodnych i wodno-błotnych należy </w:t>
      </w:r>
      <w:r w:rsidRPr="00105A12">
        <w:rPr>
          <w:rFonts w:ascii="Times New Roman" w:eastAsia="Times New Roman" w:hAnsi="Times New Roman" w:cs="Times New Roman"/>
          <w:kern w:val="0"/>
          <w:sz w:val="24"/>
          <w:szCs w:val="24"/>
          <w:lang w:eastAsia="pl-PL"/>
        </w:rPr>
        <w:br/>
        <w:t xml:space="preserve">do sfery domniemań, a nie udokumentowanych, przez instytucje ochrony przyrody, faktów. Dodatkowym aspektem zmniejszającym domniemany efekt olśnienia oraz efektu fałszywego lustra wody są przerwy pomiędzy szeregami paneli, szerokości od 3 m do 5 m, których wielkopowierzchniowe </w:t>
      </w:r>
      <w:r w:rsidRPr="00105A12">
        <w:rPr>
          <w:rFonts w:ascii="Times New Roman" w:eastAsia="Times New Roman" w:hAnsi="Times New Roman" w:cs="Times New Roman"/>
          <w:kern w:val="0"/>
          <w:sz w:val="24"/>
          <w:szCs w:val="24"/>
          <w:lang w:eastAsia="pl-PL"/>
        </w:rPr>
        <w:lastRenderedPageBreak/>
        <w:t>szklarnie ogrodnicze nie posiadają, a więc teoretycznie to one powinny wabić ptaki fałszywym lustrem wody. Doświadczenia negatywnych oddziaływań na ptaki,</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dla domniemanego efektu fałszywego lustra wody, nie dostarczają elektrownie fotowoltaiczne zainstalowane na wodzie.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Przyjęte rozwiązanie przesyłania pozyskanej energii elektrycznej, w postaci podziemnej instalacji przewodów elektrycznych w miejscu inwestycji, nie przyczynią się do pomnożenia naziemnej struktury elektroenergetycznej, będącej jedną z przyczyn antropogenicznej  śmiertelności ptaków.</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Niekiedy uwarunkowania, z zakresu oddziaływania na ptaki, ustalane w postępowaniach </w:t>
      </w:r>
      <w:proofErr w:type="spellStart"/>
      <w:r w:rsidRPr="00105A12">
        <w:rPr>
          <w:rFonts w:ascii="Times New Roman" w:eastAsia="Times New Roman" w:hAnsi="Times New Roman" w:cs="Times New Roman"/>
          <w:kern w:val="0"/>
          <w:sz w:val="24"/>
          <w:szCs w:val="24"/>
          <w:lang w:eastAsia="pl-PL"/>
        </w:rPr>
        <w:t>ocenowych</w:t>
      </w:r>
      <w:proofErr w:type="spellEnd"/>
      <w:r w:rsidRPr="00105A12">
        <w:rPr>
          <w:rFonts w:ascii="Times New Roman" w:eastAsia="Times New Roman" w:hAnsi="Times New Roman" w:cs="Times New Roman"/>
          <w:kern w:val="0"/>
          <w:sz w:val="24"/>
          <w:szCs w:val="24"/>
          <w:lang w:eastAsia="pl-PL"/>
        </w:rPr>
        <w:t xml:space="preserve"> dla instalacji paneli fotowoltaicznych wynikają z domniemania o utracie siedlisk dla ptaków lub pielęgnacji terenu pod panelami. W obydwu przypadkach odniesieniem jest obecny potencjał siedliskowy agrocenozy dla ptaków, który jest całkowicie uzależniony</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od zmienności upraw i cykliczności zabiegów rolnych oraz od potrzeb, rytmu i kultury uprawy. Ta losowość skutkuje przygodnym i zmiennym składem ornitofauny, a sama produkcja rolna</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i jej zabiegi nie są uwarunkowane tym składem. W odniesieniu do tego, elektrownie fotowoltaiczne stabilizują, na planowanych kilkadziesiąt lat eksploatacji, typ użytkowania okrywy roślinnej podłoża, a sam zabieg pielęgnacji runi jest tożsamy tradycyjnej uprawie</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 koszenie lub spasanie.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W przypadku farm fotowoltaicznych, w sytuacjach przekształcania jedynych bądź ostatnich przestrzeni otwartych, analizuje się efekt ograniczający dostępność do znajdujących się</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na powierzchni gruntu łowisk, żerowisk i lęgowisk. W przypadku działek inwestycji i ich  sąsiedztwa nie ma takiego problemu ponieważ w bliskości znajdują się grunty krajobrazów rolnych i tradycyjnego ich użytkowania. </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Ogrodzenie farm fotowoltaicznych i zabieg koszenia mogą sprawić efekt wabiący dla ptaków, w tym niektórych szponiastych, polujących na drobne zwierzęta np. na gryzonie.</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Podobne zjawisko jest obserwowane w o wiele mniej atrakcyjnym sąsiedztwie terenów zieleni</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i opłotowania dróg szybkiego ruchu.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Logistyka przedsięwzięcia, w trakcie budowy i eksploatacji, odbywała się będzie w sieci istniejącej infrastruktury komunikacyjnej i przesyłowej, nie wymaga zatem budowy, która mogłaby mieć wpływ na stan przyrody i jej ochrony. Intensyfikacja ruchu i przesyłania energii elektrycznej będzie miała ten wpływ znikomy.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Planowane przedsięwzięcie wpisuje się w realizację zobowiązania, przyjętego przez rząd Polski, zwiększenia udziału tzw. energii odnawialnej w produkcji i konsumpcji energii elektrycznej. Celem tej polityki jest zmniejszenie emisji dwutlenku węgla, wskazanego jako  istotny czynnik zmian klimatu. W związku z tym analiza oddziaływania przedsięwzięcia</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na klimat musi osiągać, bez względu na faktyczne oddziaływanie, wynik wpływu pozytywnego. Podążając logiką wywodząca się z tego celu oraz przyjętego sposobu realizacji, a wywodząc z szeregu domniemań o negatywnym wpływie zmian </w:t>
      </w:r>
      <w:proofErr w:type="spellStart"/>
      <w:r w:rsidRPr="00105A12">
        <w:rPr>
          <w:rFonts w:ascii="Times New Roman" w:eastAsia="Times New Roman" w:hAnsi="Times New Roman" w:cs="Times New Roman"/>
          <w:kern w:val="0"/>
          <w:sz w:val="24"/>
          <w:szCs w:val="24"/>
          <w:lang w:eastAsia="pl-PL"/>
        </w:rPr>
        <w:t>klimatycznychna</w:t>
      </w:r>
      <w:proofErr w:type="spellEnd"/>
      <w:r w:rsidRPr="00105A12">
        <w:rPr>
          <w:rFonts w:ascii="Times New Roman" w:eastAsia="Times New Roman" w:hAnsi="Times New Roman" w:cs="Times New Roman"/>
          <w:kern w:val="0"/>
          <w:sz w:val="24"/>
          <w:szCs w:val="24"/>
          <w:lang w:eastAsia="pl-PL"/>
        </w:rPr>
        <w:t xml:space="preserve"> poszczególne grupy i gatunki świata przyrody ożywionej, należy również przyjąć, że pozytywny wpływ na klimat będzie skutkował pozytywnym wpływem na reprezentację tego świata. Żadne z oddziaływań przedsięwzięcia na klimat nie będzie miało skali wymagającej działań minimalizujących z tytułu wpływu na przyrodę i ochronę przyrody.</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Wpływ elektrowni fotowoltaicznej na mikroklimat, a w zakresie oddziaływania i skutków oddziaływania na przyrodę jest odnoszony do stanu sprzed inwestycji, w tym wypadku </w:t>
      </w:r>
      <w:r w:rsidRPr="00105A12">
        <w:rPr>
          <w:rFonts w:ascii="Times New Roman" w:eastAsia="Times New Roman" w:hAnsi="Times New Roman" w:cs="Times New Roman"/>
          <w:kern w:val="0"/>
          <w:sz w:val="24"/>
          <w:szCs w:val="24"/>
          <w:lang w:eastAsia="pl-PL"/>
        </w:rPr>
        <w:br/>
        <w:t>przede wszystkim tradycyjnego użytkowania rolnego. Dotychczasowe doświadczenie funkcjonujących elektrowni fotowoltaicznych w klimacie umiarkowanym, gdzie okrywę glebową stanowi niska roślinność zielna wskazuje, że głównym czynnikiem wpływającym</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na mikroklimat biotopu jest cień i zmienny w roku zasięg operacji cienia. Strefa zacienienia jest nowym czynnikiem mikroklimatycznym w odniesieniu do poprzedzającego użytkowania, która wpływa na gatunki kolonizujące i zadomawiające się w obszarze elektrowni, które dotąd były tu nieobecne lub obecne sporadycznie. Nie odnotowano z tego tytułu oddziaływań negatywnych, ale przestrzenną zmienność siedliskową i gatunkową wzbogacającą bioróżnorodność. Czynnikiem trwałej zmiany w biotopie jest także trwała okrywa roślinna, której w gruntach ornych nie było. Jej obecność wpływa pozytywnie na warunki wilgotnościowe </w:t>
      </w:r>
      <w:proofErr w:type="spellStart"/>
      <w:r w:rsidRPr="00105A12">
        <w:rPr>
          <w:rFonts w:ascii="Times New Roman" w:eastAsia="Times New Roman" w:hAnsi="Times New Roman" w:cs="Times New Roman"/>
          <w:kern w:val="0"/>
          <w:sz w:val="24"/>
          <w:szCs w:val="24"/>
          <w:lang w:eastAsia="pl-PL"/>
        </w:rPr>
        <w:t>ścioły</w:t>
      </w:r>
      <w:proofErr w:type="spellEnd"/>
      <w:r w:rsidRPr="00105A12">
        <w:rPr>
          <w:rFonts w:ascii="Times New Roman" w:eastAsia="Times New Roman" w:hAnsi="Times New Roman" w:cs="Times New Roman"/>
          <w:kern w:val="0"/>
          <w:sz w:val="24"/>
          <w:szCs w:val="24"/>
          <w:lang w:eastAsia="pl-PL"/>
        </w:rPr>
        <w:t xml:space="preserve"> glebowej, gleby i akumulacji węgla w glebie, co ma znaczenie mikroklimatyczne korzystne dla żywych organizmów.</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lastRenderedPageBreak/>
        <w:t>Żadne z oddziaływań przedsięwzięcia na wody nie będzie miało skali powodującej wpływ na jednolitą części wód o negatywnych skutkach dla stanu przyrody i ochrony przyrody. Nie planuje się odwodnienia i przerzutu wód, co mogło by się wiązać ze zmianami zasobów wód i stosunków wodnych.</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Dostępne technologie instalacji stelaża nośnego paneli solarnych obejmują </w:t>
      </w:r>
      <w:proofErr w:type="spellStart"/>
      <w:r w:rsidRPr="00105A12">
        <w:rPr>
          <w:rFonts w:ascii="Times New Roman" w:eastAsia="Times New Roman" w:hAnsi="Times New Roman" w:cs="Times New Roman"/>
          <w:kern w:val="0"/>
          <w:sz w:val="24"/>
          <w:szCs w:val="24"/>
          <w:lang w:eastAsia="pl-PL"/>
        </w:rPr>
        <w:t>kotwienie</w:t>
      </w:r>
      <w:proofErr w:type="spellEnd"/>
      <w:r w:rsidRPr="00105A12">
        <w:rPr>
          <w:rFonts w:ascii="Times New Roman" w:eastAsia="Times New Roman" w:hAnsi="Times New Roman" w:cs="Times New Roman"/>
          <w:kern w:val="0"/>
          <w:sz w:val="24"/>
          <w:szCs w:val="24"/>
          <w:lang w:eastAsia="pl-PL"/>
        </w:rPr>
        <w:t>, naziemne bloczki betonowe lub podziemne. W  przypadku tych ostatnich, prefabrykowanych lub wykonanych na miejscu, wykop jest płytki i nie wymaga długotrwałego, uwarunkowanego technologią, przetrzymywania. Wykop pod podziemne przewody elektryczne jest wąskoszczelinowy i również nie wymaga długotrwałego przetrzymywania, co mogłoby stanowić pułapkę dla małych zwierząt. Większe i głębsze wykopy są wymagane pod fundamenty stacji transformatorów, które dodatkowo pełnią role uszczelnionych mis</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 xml:space="preserve">na wypadki awarii urządzenia. Również i one nie wymagają długotrwałego przetrzymywania.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W sąsiedztwie inwestycji obecne są stawy poeksploatacyjne oraz tereny okresowo podmokłe, będące lub mogące być stanowiskami rozrodczymi płazów i trasami wędrówek tych zwierząt, dla których prace budowlane, np. wykopy i ruch pojazdów, mogą być potencjalnym zagrożeniem. W sprzyjających okolicznościach środowiska aktywność płazów może się rozprzestrzenić na działki inwestycyjne, co może stanowić utrudnienie jej realizacji,</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i z tej przyczyny Regionalny Dyrektor Ochrony Środowiska w Gorzowie Wielkopolskim</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w pkt 2.1. niniejszego postanowienia określił stosowne działanie osłonowe.</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Nie wykazano by budowa i eksploatacja elektrowni fotowoltaicznej mogła spowodować zmianę użytkowanych zasobów, tworów i składników przyrody sąsiedztwa przedsięwzięcia, która skutkowałaby upośledzeniem gospodarujących tu podmiotów lub mogła wzbudzić konflikty społeczne, związane ze zmianą stanu zasobów, tworów i składników przyrody tego sąsiedztwa.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Oddziaływania okresu budowy będą krótkoterminowe i punktowe. Obecność ludzi </w:t>
      </w:r>
      <w:r w:rsidRPr="00105A12">
        <w:rPr>
          <w:rFonts w:ascii="Times New Roman" w:eastAsia="Times New Roman" w:hAnsi="Times New Roman" w:cs="Times New Roman"/>
          <w:kern w:val="0"/>
          <w:sz w:val="24"/>
          <w:szCs w:val="24"/>
          <w:lang w:eastAsia="pl-PL"/>
        </w:rPr>
        <w:br/>
        <w:t>i maszyn oraz związane z tym oddziaływania nie będą się różniły od obecnego tu tła oddziaływań, np. prac na roli i użytkowania drogi Tuplice – Łazy. Można domniemać, że nawet skumulowane nie będą zjawiskiem nowym dla dzikich zwierząt, powodującym płoszenie</w:t>
      </w:r>
      <w:r w:rsidR="004A4CAB">
        <w:rPr>
          <w:rFonts w:ascii="Times New Roman" w:eastAsia="Times New Roman" w:hAnsi="Times New Roman" w:cs="Times New Roman"/>
          <w:kern w:val="0"/>
          <w:sz w:val="24"/>
          <w:szCs w:val="24"/>
          <w:lang w:eastAsia="pl-PL"/>
        </w:rPr>
        <w:t xml:space="preserve"> </w:t>
      </w:r>
      <w:r w:rsidRPr="00105A12">
        <w:rPr>
          <w:rFonts w:ascii="Times New Roman" w:eastAsia="Times New Roman" w:hAnsi="Times New Roman" w:cs="Times New Roman"/>
          <w:kern w:val="0"/>
          <w:sz w:val="24"/>
          <w:szCs w:val="24"/>
          <w:lang w:eastAsia="pl-PL"/>
        </w:rPr>
        <w:t>o skali zagrożenia dla osobników w miejscu przedsięwzięcia, a tym bardziej dla wszystkich reprezentantów gatunku. Oddziaływania okresu eksploatacji będą długoterminowe,</w:t>
      </w:r>
      <w:r w:rsidR="004A4CAB">
        <w:rPr>
          <w:rFonts w:ascii="Times New Roman" w:eastAsia="Times New Roman" w:hAnsi="Times New Roman" w:cs="Times New Roman"/>
          <w:kern w:val="0"/>
          <w:sz w:val="24"/>
          <w:szCs w:val="24"/>
          <w:lang w:eastAsia="pl-PL"/>
        </w:rPr>
        <w:t xml:space="preserve"> a</w:t>
      </w:r>
      <w:r w:rsidRPr="00105A12">
        <w:rPr>
          <w:rFonts w:ascii="Times New Roman" w:eastAsia="Times New Roman" w:hAnsi="Times New Roman" w:cs="Times New Roman"/>
          <w:kern w:val="0"/>
          <w:sz w:val="24"/>
          <w:szCs w:val="24"/>
          <w:lang w:eastAsia="pl-PL"/>
        </w:rPr>
        <w:t xml:space="preserve">le nieznaczące dla ochrony przyrody. </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Skutkiem logistyki przedsięwzięcia, budowy i późniejszej eksploatacji będą oddziaływania o skali, która nie spowoduje naruszenia równowagi przyrodniczej. Nie będzie to też wymiar, który wymagałby kompensacji przyrodniczej.</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Rozwiązania z zakresu ochrony środowiska, w tym stosowanie znormalizowanych procedur, urządzeń i surowców, spełnią kryteria ochrony przyrody w miejscu inwestycji </w:t>
      </w:r>
      <w:r w:rsidRPr="00105A12">
        <w:rPr>
          <w:rFonts w:ascii="Times New Roman" w:eastAsia="Times New Roman" w:hAnsi="Times New Roman" w:cs="Times New Roman"/>
          <w:kern w:val="0"/>
          <w:sz w:val="24"/>
          <w:szCs w:val="24"/>
          <w:lang w:eastAsia="pl-PL"/>
        </w:rPr>
        <w:br/>
        <w:t xml:space="preserve">i zasięgu jego oddziaływania, w tym antropogenicznie przekształconym terenie </w:t>
      </w:r>
      <w:r w:rsidRPr="00105A12">
        <w:rPr>
          <w:rFonts w:ascii="Times New Roman" w:eastAsia="Times New Roman" w:hAnsi="Times New Roman" w:cs="Times New Roman"/>
          <w:kern w:val="0"/>
          <w:sz w:val="24"/>
          <w:szCs w:val="24"/>
          <w:lang w:eastAsia="pl-PL"/>
        </w:rPr>
        <w:br/>
        <w:t xml:space="preserve">o uproszczonych układach ekologicznych. Agrocenoza działek inwestycji nie jest częścią ekosystemu o zaawansowanych postaciach sukcesyjnych, co z perspektywy ochrony przyrody i szczególnych okoliczności wymagałaby jej zachowania. Nie jest to postać zasobu, której </w:t>
      </w:r>
      <w:r w:rsidRPr="00105A12">
        <w:rPr>
          <w:rFonts w:ascii="Times New Roman" w:eastAsia="Times New Roman" w:hAnsi="Times New Roman" w:cs="Times New Roman"/>
          <w:kern w:val="0"/>
          <w:sz w:val="24"/>
          <w:szCs w:val="24"/>
          <w:lang w:eastAsia="pl-PL"/>
        </w:rPr>
        <w:br/>
        <w:t>nie można odtworzyć lub która byłaby unikatowa. Zmiana użytkowania nie spowoduje upośledzenia zrównoważonego użytkowania i odnawiania zasobów, tworów i składników przyrody. Z perspektywy ochrony przyrody, która polega na zachowaniu, zrównoważonym użytkowaniu oraz odnawianiu zasobów nie ma potrzeby:</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kategorycznego zachowania obecnej tu biocenozy, jej utrzymywania w trakcie budowy </w:t>
      </w:r>
      <w:r w:rsidRPr="00105A12">
        <w:rPr>
          <w:rFonts w:ascii="Times New Roman" w:eastAsia="Times New Roman" w:hAnsi="Times New Roman" w:cs="Times New Roman"/>
          <w:kern w:val="0"/>
          <w:sz w:val="24"/>
          <w:szCs w:val="24"/>
          <w:lang w:eastAsia="pl-PL"/>
        </w:rPr>
        <w:br/>
        <w:t>i eksploatacji elektrowni;</w:t>
      </w:r>
    </w:p>
    <w:p w:rsidR="00105A12" w:rsidRPr="00105A12" w:rsidRDefault="00105A12" w:rsidP="00105A12">
      <w:pPr>
        <w:widowControl/>
        <w:suppressAutoHyphens w:val="0"/>
        <w:autoSpaceDE w:val="0"/>
        <w:adjustRightInd w:val="0"/>
        <w:spacing w:after="0" w:line="240" w:lineRule="auto"/>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 kategorycznego zachowania obecnych tu tworów przyrody nieożywionej, form i struktur, </w:t>
      </w:r>
      <w:r w:rsidRPr="00105A12">
        <w:rPr>
          <w:rFonts w:ascii="Times New Roman" w:eastAsia="Times New Roman" w:hAnsi="Times New Roman" w:cs="Times New Roman"/>
          <w:kern w:val="0"/>
          <w:sz w:val="24"/>
          <w:szCs w:val="24"/>
          <w:lang w:eastAsia="pl-PL"/>
        </w:rPr>
        <w:br/>
        <w:t>oraz ich odnowienia po budowie i eksploatacji.</w:t>
      </w:r>
    </w:p>
    <w:p w:rsidR="00105A12" w:rsidRPr="00105A12" w:rsidRDefault="00105A12" w:rsidP="00105A12">
      <w:pPr>
        <w:widowControl/>
        <w:suppressAutoHyphens w:val="0"/>
        <w:autoSpaceDE w:val="0"/>
        <w:adjustRightInd w:val="0"/>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kern w:val="0"/>
          <w:sz w:val="24"/>
          <w:szCs w:val="24"/>
          <w:lang w:eastAsia="pl-PL"/>
        </w:rPr>
        <w:t xml:space="preserve">W odniesieniu do art. 81 ust. 1 i ust. 2  ustawy o </w:t>
      </w:r>
      <w:proofErr w:type="spellStart"/>
      <w:r w:rsidRPr="00105A12">
        <w:rPr>
          <w:rFonts w:ascii="Times New Roman" w:eastAsia="Times New Roman" w:hAnsi="Times New Roman" w:cs="Times New Roman"/>
          <w:kern w:val="0"/>
          <w:sz w:val="24"/>
          <w:szCs w:val="24"/>
          <w:lang w:eastAsia="pl-PL"/>
        </w:rPr>
        <w:t>ooś</w:t>
      </w:r>
      <w:proofErr w:type="spellEnd"/>
      <w:r w:rsidRPr="00105A12">
        <w:rPr>
          <w:rFonts w:ascii="Times New Roman" w:eastAsia="Times New Roman" w:hAnsi="Times New Roman" w:cs="Times New Roman"/>
          <w:kern w:val="0"/>
          <w:sz w:val="24"/>
          <w:szCs w:val="24"/>
          <w:lang w:eastAsia="pl-PL"/>
        </w:rPr>
        <w:t xml:space="preserve">, nie stwierdzono, w zakresie ochrony przyrody, braku możliwości realizacji przedsięwzięcia w wariancie proponowanym przez wnioskodawcę lub znacząco negatywnego oddziaływania na obszar Natura 2000.  </w:t>
      </w:r>
    </w:p>
    <w:p w:rsidR="00105A12" w:rsidRPr="00105A12" w:rsidRDefault="00105A12" w:rsidP="00105A12">
      <w:pPr>
        <w:widowControl/>
        <w:suppressAutoHyphens w:val="0"/>
        <w:autoSpaceDN/>
        <w:spacing w:after="0" w:line="240" w:lineRule="auto"/>
        <w:ind w:firstLine="567"/>
        <w:contextualSpacing/>
        <w:jc w:val="both"/>
        <w:textAlignment w:val="auto"/>
        <w:rPr>
          <w:rFonts w:eastAsia="Calibri" w:cs="Calibri"/>
          <w:kern w:val="0"/>
        </w:rPr>
      </w:pPr>
      <w:r w:rsidRPr="00105A12">
        <w:rPr>
          <w:rFonts w:ascii="Times New Roman" w:eastAsia="Times New Roman" w:hAnsi="Times New Roman" w:cs="Times New Roman"/>
          <w:kern w:val="0"/>
          <w:sz w:val="24"/>
          <w:szCs w:val="24"/>
          <w:lang w:eastAsia="pl-PL"/>
        </w:rPr>
        <w:t xml:space="preserve">Planowane przedsięwzięcie nie zalicza się do zakładów stwarzających zagrożenie wystąpienia poważnej awarii przemysłowej w rozumieniu art. 248 ustawy z dnia 27 kwietnia 2001 r. Prawo ochrony środowiska (Dz. U. z 2021 r., poz. 1973 z </w:t>
      </w:r>
      <w:proofErr w:type="spellStart"/>
      <w:r w:rsidRPr="00105A12">
        <w:rPr>
          <w:rFonts w:ascii="Times New Roman" w:eastAsia="Times New Roman" w:hAnsi="Times New Roman" w:cs="Times New Roman"/>
          <w:kern w:val="0"/>
          <w:sz w:val="24"/>
          <w:szCs w:val="24"/>
          <w:lang w:eastAsia="pl-PL"/>
        </w:rPr>
        <w:t>późn</w:t>
      </w:r>
      <w:proofErr w:type="spellEnd"/>
      <w:r w:rsidRPr="00105A12">
        <w:rPr>
          <w:rFonts w:ascii="Times New Roman" w:eastAsia="Times New Roman" w:hAnsi="Times New Roman" w:cs="Times New Roman"/>
          <w:kern w:val="0"/>
          <w:sz w:val="24"/>
          <w:szCs w:val="24"/>
          <w:lang w:eastAsia="pl-PL"/>
        </w:rPr>
        <w:t xml:space="preserve">. zm.), nie jest również wymienione wśród </w:t>
      </w:r>
      <w:r w:rsidRPr="00105A12">
        <w:rPr>
          <w:rFonts w:ascii="Times New Roman" w:eastAsia="Times New Roman" w:hAnsi="Times New Roman" w:cs="Times New Roman"/>
          <w:kern w:val="0"/>
          <w:sz w:val="24"/>
          <w:szCs w:val="24"/>
          <w:lang w:eastAsia="pl-PL"/>
        </w:rPr>
        <w:lastRenderedPageBreak/>
        <w:t>obiektów, dla których można utworzyć obszar ograniczonego użytkowania, o którym mowa w art. 135 ust. 1 wymienionej ustawy. Ryzyko wystąpienia katastrofy naturalnej czy budowlanej, przy zaplanowanej technologii i zakresie prac, ocenia się jako bardzo niskie. Ze względu na lokalizację (ok. 6,3 km od granicy państwa) oraz zakres przedsięwzięcia nie zachodzi również ryzyko transgranicznego oddziaływania na środowisko.</w:t>
      </w:r>
    </w:p>
    <w:p w:rsidR="00105A12" w:rsidRPr="00105A12" w:rsidRDefault="00105A12" w:rsidP="00105A12">
      <w:pPr>
        <w:widowControl/>
        <w:suppressAutoHyphens w:val="0"/>
        <w:autoSpaceDN/>
        <w:spacing w:after="0" w:line="240" w:lineRule="auto"/>
        <w:ind w:firstLine="567"/>
        <w:contextualSpacing/>
        <w:jc w:val="both"/>
        <w:textAlignment w:val="auto"/>
        <w:rPr>
          <w:rFonts w:ascii="Times New Roman" w:eastAsia="Times New Roman" w:hAnsi="Times New Roman" w:cs="Times New Roman"/>
          <w:kern w:val="0"/>
          <w:sz w:val="24"/>
          <w:szCs w:val="24"/>
          <w:lang w:eastAsia="pl-PL"/>
        </w:rPr>
      </w:pPr>
      <w:r w:rsidRPr="00105A12">
        <w:rPr>
          <w:rFonts w:ascii="Times New Roman" w:eastAsia="Times New Roman" w:hAnsi="Times New Roman" w:cs="Times New Roman"/>
          <w:iCs/>
          <w:kern w:val="0"/>
          <w:sz w:val="24"/>
          <w:szCs w:val="24"/>
          <w:lang w:eastAsia="pl-PL"/>
        </w:rPr>
        <w:t>Przy zastosowaniu zakładanych rozwiązań technicznych i organizacyjnych, omówionych w przedłożonym raporcie oraz przy spełnieniu warunków określonych w</w:t>
      </w:r>
      <w:r w:rsidRPr="00105A12">
        <w:rPr>
          <w:rFonts w:ascii="Times New Roman" w:eastAsia="Times New Roman" w:hAnsi="Times New Roman" w:cs="Times New Roman"/>
          <w:b/>
          <w:iCs/>
          <w:kern w:val="0"/>
          <w:sz w:val="24"/>
          <w:szCs w:val="24"/>
          <w:lang w:eastAsia="pl-PL"/>
        </w:rPr>
        <w:t xml:space="preserve"> </w:t>
      </w:r>
      <w:r w:rsidRPr="00105A12">
        <w:rPr>
          <w:rFonts w:ascii="Times New Roman" w:eastAsia="Arial Unicode MS" w:hAnsi="Times New Roman" w:cs="Times New Roman"/>
          <w:bCs/>
          <w:kern w:val="0"/>
          <w:sz w:val="24"/>
          <w:szCs w:val="24"/>
          <w:lang w:eastAsia="pl-PL"/>
        </w:rPr>
        <w:t>niniejs</w:t>
      </w:r>
      <w:r w:rsidR="004A4CAB">
        <w:rPr>
          <w:rFonts w:ascii="Times New Roman" w:eastAsia="Arial Unicode MS" w:hAnsi="Times New Roman" w:cs="Times New Roman"/>
          <w:bCs/>
          <w:kern w:val="0"/>
          <w:sz w:val="24"/>
          <w:szCs w:val="24"/>
          <w:lang w:eastAsia="pl-PL"/>
        </w:rPr>
        <w:t>zej decyzji</w:t>
      </w:r>
      <w:r w:rsidRPr="00105A12">
        <w:rPr>
          <w:rFonts w:ascii="Times New Roman" w:eastAsia="Arial Unicode MS" w:hAnsi="Times New Roman" w:cs="Times New Roman"/>
          <w:bCs/>
          <w:kern w:val="0"/>
          <w:sz w:val="24"/>
          <w:szCs w:val="24"/>
          <w:lang w:eastAsia="pl-PL"/>
        </w:rPr>
        <w:t xml:space="preserve">, nie pogorszy się stan środowiska. </w:t>
      </w:r>
      <w:r w:rsidRPr="00105A12">
        <w:rPr>
          <w:rFonts w:ascii="Times New Roman" w:eastAsia="Times New Roman" w:hAnsi="Times New Roman" w:cs="Times New Roman"/>
          <w:iCs/>
          <w:kern w:val="0"/>
          <w:sz w:val="24"/>
          <w:szCs w:val="24"/>
          <w:lang w:eastAsia="pl-PL"/>
        </w:rPr>
        <w:t>Dlatego w pkt 4 niniejsze</w:t>
      </w:r>
      <w:r w:rsidR="004A4CAB">
        <w:rPr>
          <w:rFonts w:ascii="Times New Roman" w:eastAsia="Times New Roman" w:hAnsi="Times New Roman" w:cs="Times New Roman"/>
          <w:iCs/>
          <w:kern w:val="0"/>
          <w:sz w:val="24"/>
          <w:szCs w:val="24"/>
          <w:lang w:eastAsia="pl-PL"/>
        </w:rPr>
        <w:t>j</w:t>
      </w:r>
      <w:r w:rsidRPr="00105A12">
        <w:rPr>
          <w:rFonts w:ascii="Times New Roman" w:eastAsia="Times New Roman" w:hAnsi="Times New Roman" w:cs="Times New Roman"/>
          <w:iCs/>
          <w:kern w:val="0"/>
          <w:sz w:val="24"/>
          <w:szCs w:val="24"/>
          <w:lang w:eastAsia="pl-PL"/>
        </w:rPr>
        <w:t xml:space="preserve"> </w:t>
      </w:r>
      <w:r w:rsidR="004A4CAB">
        <w:rPr>
          <w:rFonts w:ascii="Times New Roman" w:eastAsia="Times New Roman" w:hAnsi="Times New Roman" w:cs="Times New Roman"/>
          <w:iCs/>
          <w:kern w:val="0"/>
          <w:sz w:val="24"/>
          <w:szCs w:val="24"/>
          <w:lang w:eastAsia="pl-PL"/>
        </w:rPr>
        <w:t>decyzji</w:t>
      </w:r>
      <w:r w:rsidRPr="00105A12">
        <w:rPr>
          <w:rFonts w:ascii="Times New Roman" w:eastAsia="Times New Roman" w:hAnsi="Times New Roman" w:cs="Times New Roman"/>
          <w:iCs/>
          <w:kern w:val="0"/>
          <w:sz w:val="24"/>
          <w:szCs w:val="24"/>
          <w:lang w:eastAsia="pl-PL"/>
        </w:rPr>
        <w:t xml:space="preserve"> przedstawiono stanowisko, że nie jest konieczne przeprowadzenie ponownej oceny oddziaływania przedsięwzięcia na środowisko oraz postępowanie w sprawie transgranicznego oddziaływania tego przedsięwzięcia na środowisko, w ramach postępowania w sprawie wydawania decyzji, </w:t>
      </w:r>
      <w:r w:rsidRPr="00105A12">
        <w:rPr>
          <w:rFonts w:ascii="Times New Roman" w:eastAsia="Times New Roman" w:hAnsi="Times New Roman" w:cs="Times New Roman"/>
          <w:kern w:val="0"/>
          <w:sz w:val="24"/>
          <w:szCs w:val="24"/>
          <w:lang w:eastAsia="pl-PL"/>
        </w:rPr>
        <w:t xml:space="preserve">o </w:t>
      </w:r>
      <w:r w:rsidRPr="00105A12">
        <w:rPr>
          <w:rFonts w:ascii="Times New Roman" w:eastAsia="Times New Roman" w:hAnsi="Times New Roman" w:cs="Times New Roman"/>
          <w:bCs/>
          <w:kern w:val="0"/>
          <w:sz w:val="24"/>
          <w:szCs w:val="24"/>
          <w:lang w:eastAsia="pl-PL"/>
        </w:rPr>
        <w:t xml:space="preserve">której mowa w art. 72 ust. 1 </w:t>
      </w:r>
      <w:r w:rsidRPr="00105A12">
        <w:rPr>
          <w:rFonts w:ascii="Times New Roman" w:eastAsia="Times New Roman" w:hAnsi="Times New Roman" w:cs="Times New Roman"/>
          <w:kern w:val="0"/>
          <w:sz w:val="24"/>
          <w:szCs w:val="24"/>
          <w:lang w:eastAsia="pl-PL"/>
        </w:rPr>
        <w:t xml:space="preserve">ustawy o </w:t>
      </w:r>
      <w:proofErr w:type="spellStart"/>
      <w:r w:rsidRPr="00105A12">
        <w:rPr>
          <w:rFonts w:ascii="Times New Roman" w:eastAsia="Times New Roman" w:hAnsi="Times New Roman" w:cs="Times New Roman"/>
          <w:kern w:val="0"/>
          <w:sz w:val="24"/>
          <w:szCs w:val="24"/>
          <w:lang w:eastAsia="pl-PL"/>
        </w:rPr>
        <w:t>ooś</w:t>
      </w:r>
      <w:proofErr w:type="spellEnd"/>
      <w:r w:rsidRPr="00105A12">
        <w:rPr>
          <w:rFonts w:ascii="Times New Roman" w:eastAsia="Times New Roman" w:hAnsi="Times New Roman" w:cs="Times New Roman"/>
          <w:kern w:val="0"/>
          <w:sz w:val="24"/>
          <w:szCs w:val="24"/>
          <w:lang w:eastAsia="pl-PL"/>
        </w:rPr>
        <w:t>.</w:t>
      </w:r>
    </w:p>
    <w:p w:rsidR="00ED7026" w:rsidRDefault="00ED7026">
      <w:pPr>
        <w:pStyle w:val="Akapitzlist"/>
        <w:tabs>
          <w:tab w:val="left" w:pos="851"/>
        </w:tabs>
        <w:spacing w:line="276" w:lineRule="auto"/>
        <w:ind w:left="284"/>
        <w:jc w:val="both"/>
        <w:rPr>
          <w:rFonts w:cs="Arial"/>
          <w:color w:val="000000"/>
          <w:spacing w:val="-4"/>
        </w:rPr>
      </w:pPr>
    </w:p>
    <w:p w:rsidR="00ED7026" w:rsidRDefault="00D154C4">
      <w:pPr>
        <w:pStyle w:val="Standard"/>
        <w:spacing w:after="120" w:line="240" w:lineRule="auto"/>
        <w:ind w:firstLine="567"/>
        <w:jc w:val="both"/>
        <w:rPr>
          <w:rFonts w:ascii="Times New Roman" w:hAnsi="Times New Roman"/>
          <w:sz w:val="24"/>
          <w:szCs w:val="24"/>
        </w:rPr>
      </w:pPr>
      <w:r>
        <w:rPr>
          <w:rFonts w:ascii="Times New Roman" w:hAnsi="Times New Roman" w:cs="Arial"/>
          <w:sz w:val="24"/>
          <w:szCs w:val="24"/>
        </w:rPr>
        <w:t xml:space="preserve"> </w:t>
      </w:r>
      <w:r>
        <w:rPr>
          <w:rFonts w:ascii="Times New Roman" w:eastAsia="Times New Roman" w:hAnsi="Times New Roman" w:cs="Arial"/>
          <w:color w:val="000000"/>
          <w:sz w:val="24"/>
          <w:szCs w:val="24"/>
          <w:lang w:eastAsia="pl-PL"/>
        </w:rPr>
        <w:t>W związku z powyższym oraz w oparciu o cytowane na wstępie przepisy postanowiono jak w sentencji.</w:t>
      </w:r>
    </w:p>
    <w:p w:rsidR="00ED7026" w:rsidRDefault="00ED7026">
      <w:pPr>
        <w:pStyle w:val="Textbodyindent"/>
        <w:spacing w:line="276" w:lineRule="auto"/>
        <w:ind w:left="0" w:firstLine="0"/>
        <w:rPr>
          <w:rFonts w:cs="Arial"/>
          <w:b/>
        </w:rPr>
      </w:pPr>
    </w:p>
    <w:p w:rsidR="00ED7026" w:rsidRDefault="00ED7026">
      <w:pPr>
        <w:pStyle w:val="Textbodyindent"/>
        <w:spacing w:line="276" w:lineRule="auto"/>
        <w:ind w:left="0" w:firstLine="0"/>
        <w:rPr>
          <w:rFonts w:cs="Arial"/>
          <w:b/>
        </w:rPr>
      </w:pPr>
    </w:p>
    <w:p w:rsidR="00ED7026" w:rsidRDefault="00D154C4">
      <w:pPr>
        <w:pStyle w:val="dtz"/>
        <w:tabs>
          <w:tab w:val="left" w:pos="567"/>
        </w:tabs>
        <w:spacing w:before="0" w:after="0" w:line="276" w:lineRule="auto"/>
        <w:jc w:val="center"/>
        <w:rPr>
          <w:rFonts w:cs="Arial"/>
          <w:b/>
        </w:rPr>
      </w:pPr>
      <w:r>
        <w:rPr>
          <w:rFonts w:cs="Arial"/>
          <w:b/>
        </w:rPr>
        <w:t>Pouczenie</w:t>
      </w:r>
    </w:p>
    <w:p w:rsidR="00ED7026" w:rsidRDefault="00ED7026">
      <w:pPr>
        <w:pStyle w:val="dtz"/>
        <w:tabs>
          <w:tab w:val="left" w:pos="567"/>
        </w:tabs>
        <w:spacing w:before="0" w:after="0" w:line="276" w:lineRule="auto"/>
        <w:jc w:val="center"/>
        <w:rPr>
          <w:rFonts w:ascii="Arial" w:hAnsi="Arial" w:cs="Arial"/>
          <w:b/>
        </w:rPr>
      </w:pPr>
    </w:p>
    <w:p w:rsidR="00ED7026" w:rsidRDefault="00ED7026">
      <w:pPr>
        <w:pStyle w:val="dtz"/>
        <w:tabs>
          <w:tab w:val="left" w:pos="567"/>
        </w:tabs>
        <w:spacing w:before="0" w:after="0" w:line="276" w:lineRule="auto"/>
        <w:jc w:val="center"/>
        <w:rPr>
          <w:rFonts w:ascii="Arial" w:hAnsi="Arial" w:cs="Arial"/>
          <w:b/>
        </w:rPr>
      </w:pPr>
    </w:p>
    <w:p w:rsidR="00ED7026" w:rsidRDefault="00D154C4">
      <w:pPr>
        <w:pStyle w:val="dtz"/>
        <w:tabs>
          <w:tab w:val="left" w:pos="567"/>
        </w:tabs>
        <w:spacing w:before="0" w:after="0" w:line="276" w:lineRule="auto"/>
        <w:ind w:firstLine="708"/>
        <w:jc w:val="both"/>
        <w:rPr>
          <w:rFonts w:cs="Arial"/>
        </w:rPr>
      </w:pPr>
      <w:r>
        <w:rPr>
          <w:rFonts w:cs="Arial"/>
        </w:rPr>
        <w:t xml:space="preserve">Od niniejszej decyzji służy stronie odwołanie do Samorządowego Kolegium Odwoławczego w Zielonej Górze w terminie 14 dni od daty doręczenia </w:t>
      </w:r>
      <w:r>
        <w:rPr>
          <w:rFonts w:cs="Arial"/>
        </w:rPr>
        <w:t>decyzji za pośrednictwem Wójta Gminy Tuplice.</w:t>
      </w:r>
    </w:p>
    <w:p w:rsidR="00ED7026" w:rsidRDefault="00ED7026">
      <w:pPr>
        <w:pStyle w:val="dtz"/>
        <w:tabs>
          <w:tab w:val="left" w:pos="567"/>
        </w:tabs>
        <w:spacing w:before="0" w:after="0" w:line="276" w:lineRule="auto"/>
        <w:ind w:firstLine="708"/>
        <w:jc w:val="both"/>
        <w:rPr>
          <w:rFonts w:ascii="Arial" w:hAnsi="Arial" w:cs="Arial"/>
        </w:rPr>
      </w:pPr>
    </w:p>
    <w:p w:rsidR="00ED7026" w:rsidRDefault="00ED7026">
      <w:pPr>
        <w:pStyle w:val="dtz"/>
        <w:tabs>
          <w:tab w:val="left" w:pos="567"/>
        </w:tabs>
        <w:spacing w:before="0" w:after="0" w:line="276" w:lineRule="auto"/>
        <w:ind w:firstLine="708"/>
        <w:jc w:val="both"/>
        <w:rPr>
          <w:rFonts w:ascii="Arial" w:hAnsi="Arial" w:cs="Arial"/>
        </w:rPr>
      </w:pPr>
    </w:p>
    <w:p w:rsidR="00ED7026" w:rsidRDefault="00D154C4">
      <w:pPr>
        <w:pStyle w:val="dtz"/>
        <w:tabs>
          <w:tab w:val="left" w:pos="567"/>
        </w:tabs>
        <w:spacing w:before="0" w:after="0" w:line="276" w:lineRule="auto"/>
        <w:jc w:val="both"/>
        <w:rPr>
          <w:rFonts w:cs="Arial"/>
        </w:rPr>
      </w:pPr>
      <w:r>
        <w:rPr>
          <w:rFonts w:cs="Arial"/>
        </w:rPr>
        <w:t>Załączniki:</w:t>
      </w:r>
    </w:p>
    <w:p w:rsidR="00ED7026" w:rsidRDefault="00ED7026">
      <w:pPr>
        <w:pStyle w:val="dtz"/>
        <w:tabs>
          <w:tab w:val="left" w:pos="567"/>
        </w:tabs>
        <w:spacing w:before="0" w:after="0" w:line="276" w:lineRule="auto"/>
        <w:jc w:val="both"/>
        <w:rPr>
          <w:rFonts w:cs="Arial"/>
        </w:rPr>
      </w:pPr>
    </w:p>
    <w:p w:rsidR="00ED7026" w:rsidRPr="004A4CAB" w:rsidRDefault="00D154C4" w:rsidP="004A4CAB">
      <w:pPr>
        <w:pStyle w:val="dtz"/>
        <w:numPr>
          <w:ilvl w:val="0"/>
          <w:numId w:val="35"/>
        </w:numPr>
        <w:tabs>
          <w:tab w:val="left" w:pos="567"/>
        </w:tabs>
        <w:spacing w:before="0" w:after="0" w:line="276" w:lineRule="auto"/>
        <w:jc w:val="both"/>
        <w:rPr>
          <w:rFonts w:cs="Arial"/>
        </w:rPr>
      </w:pPr>
      <w:r>
        <w:rPr>
          <w:rFonts w:cs="Arial"/>
        </w:rPr>
        <w:t>Charakterystyka przedsięwzięcia.</w:t>
      </w:r>
    </w:p>
    <w:p w:rsidR="00ED7026" w:rsidRDefault="00ED7026">
      <w:pPr>
        <w:pStyle w:val="dtz"/>
        <w:tabs>
          <w:tab w:val="left" w:pos="567"/>
        </w:tabs>
        <w:spacing w:before="0" w:after="0" w:line="276" w:lineRule="auto"/>
        <w:jc w:val="both"/>
        <w:rPr>
          <w:rFonts w:cs="Arial"/>
          <w:u w:val="single"/>
        </w:rPr>
      </w:pPr>
    </w:p>
    <w:p w:rsidR="00ED7026" w:rsidRDefault="00D154C4">
      <w:pPr>
        <w:pStyle w:val="dtz"/>
        <w:tabs>
          <w:tab w:val="left" w:pos="567"/>
        </w:tabs>
        <w:spacing w:before="0" w:after="0" w:line="276" w:lineRule="auto"/>
        <w:jc w:val="both"/>
        <w:rPr>
          <w:rFonts w:cs="Arial"/>
          <w:u w:val="single"/>
        </w:rPr>
      </w:pPr>
      <w:r>
        <w:rPr>
          <w:rFonts w:cs="Arial"/>
          <w:u w:val="single"/>
        </w:rPr>
        <w:t>Otrzymują:</w:t>
      </w:r>
    </w:p>
    <w:p w:rsidR="00ED7026" w:rsidRDefault="00D154C4">
      <w:pPr>
        <w:pStyle w:val="dtz"/>
        <w:numPr>
          <w:ilvl w:val="0"/>
          <w:numId w:val="36"/>
        </w:numPr>
        <w:tabs>
          <w:tab w:val="left" w:pos="567"/>
        </w:tabs>
        <w:spacing w:before="0" w:after="0" w:line="276" w:lineRule="auto"/>
        <w:jc w:val="both"/>
        <w:rPr>
          <w:rFonts w:cs="Arial"/>
        </w:rPr>
      </w:pPr>
      <w:r>
        <w:rPr>
          <w:rFonts w:cs="Arial"/>
        </w:rPr>
        <w:t>Strony postępowania (wg wykazu akt)</w:t>
      </w:r>
    </w:p>
    <w:p w:rsidR="00ED7026" w:rsidRDefault="00D154C4">
      <w:pPr>
        <w:pStyle w:val="dtz"/>
        <w:numPr>
          <w:ilvl w:val="0"/>
          <w:numId w:val="5"/>
        </w:numPr>
        <w:tabs>
          <w:tab w:val="left" w:pos="567"/>
        </w:tabs>
        <w:spacing w:before="0" w:after="0" w:line="276" w:lineRule="auto"/>
        <w:jc w:val="both"/>
        <w:rPr>
          <w:rFonts w:cs="Arial"/>
        </w:rPr>
      </w:pPr>
      <w:r>
        <w:rPr>
          <w:rFonts w:cs="Arial"/>
        </w:rPr>
        <w:t>a/a</w:t>
      </w:r>
    </w:p>
    <w:p w:rsidR="00ED7026" w:rsidRDefault="00ED7026">
      <w:pPr>
        <w:pStyle w:val="dtz"/>
        <w:tabs>
          <w:tab w:val="left" w:pos="567"/>
        </w:tabs>
        <w:spacing w:before="0" w:after="0" w:line="276" w:lineRule="auto"/>
        <w:jc w:val="both"/>
        <w:rPr>
          <w:rFonts w:cs="Arial"/>
        </w:rPr>
      </w:pPr>
    </w:p>
    <w:p w:rsidR="00ED7026" w:rsidRDefault="00D154C4">
      <w:pPr>
        <w:pStyle w:val="dtz"/>
        <w:tabs>
          <w:tab w:val="left" w:pos="567"/>
        </w:tabs>
        <w:spacing w:before="0" w:after="0" w:line="276" w:lineRule="auto"/>
        <w:jc w:val="both"/>
        <w:rPr>
          <w:rFonts w:cs="Arial"/>
        </w:rPr>
      </w:pPr>
      <w:r>
        <w:rPr>
          <w:rFonts w:cs="Arial"/>
        </w:rPr>
        <w:t>Do Wiadomości:</w:t>
      </w:r>
    </w:p>
    <w:p w:rsidR="00ED7026" w:rsidRDefault="00D154C4">
      <w:pPr>
        <w:pStyle w:val="dtz"/>
        <w:numPr>
          <w:ilvl w:val="0"/>
          <w:numId w:val="37"/>
        </w:numPr>
        <w:tabs>
          <w:tab w:val="left" w:pos="567"/>
        </w:tabs>
        <w:spacing w:before="0" w:after="0" w:line="276" w:lineRule="auto"/>
        <w:jc w:val="both"/>
        <w:rPr>
          <w:rFonts w:cs="Arial"/>
        </w:rPr>
      </w:pPr>
      <w:r>
        <w:rPr>
          <w:rFonts w:cs="Arial"/>
        </w:rPr>
        <w:t>Regionalna Dyrekcja Ochrony Środowiska w Gorzowie Wlkp.</w:t>
      </w:r>
    </w:p>
    <w:p w:rsidR="00ED7026" w:rsidRDefault="00D154C4" w:rsidP="004A4CAB">
      <w:pPr>
        <w:pStyle w:val="dtz"/>
        <w:tabs>
          <w:tab w:val="left" w:pos="567"/>
        </w:tabs>
        <w:spacing w:before="0" w:after="0" w:line="276" w:lineRule="auto"/>
        <w:ind w:left="426"/>
        <w:jc w:val="both"/>
        <w:rPr>
          <w:rFonts w:cs="Arial"/>
        </w:rPr>
      </w:pPr>
      <w:r>
        <w:rPr>
          <w:rFonts w:cs="Arial"/>
        </w:rPr>
        <w:t xml:space="preserve">ul. </w:t>
      </w:r>
      <w:r>
        <w:rPr>
          <w:rFonts w:cs="Arial"/>
        </w:rPr>
        <w:t>Jagiellończyka 13</w:t>
      </w:r>
    </w:p>
    <w:p w:rsidR="00ED7026" w:rsidRDefault="00D154C4" w:rsidP="004A4CAB">
      <w:pPr>
        <w:pStyle w:val="dtz"/>
        <w:tabs>
          <w:tab w:val="left" w:pos="567"/>
        </w:tabs>
        <w:spacing w:before="0" w:after="0" w:line="276" w:lineRule="auto"/>
        <w:ind w:left="426"/>
        <w:jc w:val="both"/>
        <w:rPr>
          <w:rFonts w:cs="Arial"/>
        </w:rPr>
      </w:pPr>
      <w:r>
        <w:rPr>
          <w:rFonts w:cs="Arial"/>
        </w:rPr>
        <w:t>66-400 Gorzów Wlkp.</w:t>
      </w:r>
    </w:p>
    <w:p w:rsidR="00ED7026" w:rsidRDefault="00D154C4">
      <w:pPr>
        <w:pStyle w:val="dtz"/>
        <w:numPr>
          <w:ilvl w:val="0"/>
          <w:numId w:val="37"/>
        </w:numPr>
        <w:tabs>
          <w:tab w:val="left" w:pos="567"/>
        </w:tabs>
        <w:spacing w:before="0" w:after="0" w:line="276" w:lineRule="auto"/>
        <w:jc w:val="both"/>
        <w:rPr>
          <w:rFonts w:cs="Arial"/>
        </w:rPr>
      </w:pPr>
      <w:r>
        <w:rPr>
          <w:rFonts w:cs="Arial"/>
        </w:rPr>
        <w:t>Państwowe Gospodarstwo Wodne Wody Polskie</w:t>
      </w:r>
    </w:p>
    <w:p w:rsidR="00ED7026" w:rsidRDefault="00D154C4" w:rsidP="004A4CAB">
      <w:pPr>
        <w:pStyle w:val="dtz"/>
        <w:tabs>
          <w:tab w:val="left" w:pos="567"/>
        </w:tabs>
        <w:spacing w:before="0" w:after="0" w:line="276" w:lineRule="auto"/>
        <w:ind w:left="567"/>
        <w:jc w:val="both"/>
        <w:rPr>
          <w:rFonts w:cs="Arial"/>
        </w:rPr>
      </w:pPr>
      <w:r>
        <w:rPr>
          <w:rFonts w:cs="Arial"/>
        </w:rPr>
        <w:t>Zarząd Zlewni Wód Polskich w Zgorzelcu</w:t>
      </w:r>
    </w:p>
    <w:p w:rsidR="00ED7026" w:rsidRDefault="00D154C4" w:rsidP="004A4CAB">
      <w:pPr>
        <w:pStyle w:val="dtz"/>
        <w:tabs>
          <w:tab w:val="left" w:pos="567"/>
        </w:tabs>
        <w:spacing w:before="0" w:after="0" w:line="276" w:lineRule="auto"/>
        <w:ind w:left="567"/>
        <w:jc w:val="both"/>
        <w:rPr>
          <w:rFonts w:cs="Arial"/>
        </w:rPr>
      </w:pPr>
      <w:r>
        <w:rPr>
          <w:rFonts w:cs="Arial"/>
        </w:rPr>
        <w:t xml:space="preserve">ul. </w:t>
      </w:r>
      <w:r w:rsidR="004A4CAB">
        <w:rPr>
          <w:rFonts w:cs="Arial"/>
        </w:rPr>
        <w:t>Lubańska</w:t>
      </w:r>
      <w:r>
        <w:rPr>
          <w:rFonts w:cs="Arial"/>
        </w:rPr>
        <w:t xml:space="preserve"> 9</w:t>
      </w:r>
      <w:r w:rsidR="004A4CAB">
        <w:rPr>
          <w:rFonts w:cs="Arial"/>
        </w:rPr>
        <w:t>A</w:t>
      </w:r>
    </w:p>
    <w:p w:rsidR="00ED7026" w:rsidRDefault="00D154C4" w:rsidP="004A4CAB">
      <w:pPr>
        <w:pStyle w:val="dtz"/>
        <w:tabs>
          <w:tab w:val="left" w:pos="567"/>
        </w:tabs>
        <w:spacing w:before="0" w:after="0" w:line="276" w:lineRule="auto"/>
        <w:ind w:left="567"/>
        <w:jc w:val="both"/>
        <w:rPr>
          <w:rFonts w:cs="Arial"/>
        </w:rPr>
      </w:pPr>
      <w:r>
        <w:rPr>
          <w:rFonts w:cs="Arial"/>
        </w:rPr>
        <w:t>59-900 Zgorzelec</w:t>
      </w:r>
    </w:p>
    <w:p w:rsidR="00ED7026" w:rsidRDefault="00D154C4">
      <w:pPr>
        <w:pStyle w:val="dtz"/>
        <w:numPr>
          <w:ilvl w:val="0"/>
          <w:numId w:val="37"/>
        </w:numPr>
        <w:tabs>
          <w:tab w:val="left" w:pos="567"/>
        </w:tabs>
        <w:spacing w:before="0" w:after="0" w:line="276" w:lineRule="auto"/>
        <w:jc w:val="both"/>
        <w:rPr>
          <w:rFonts w:cs="Arial"/>
        </w:rPr>
      </w:pPr>
      <w:r>
        <w:rPr>
          <w:rFonts w:cs="Arial"/>
        </w:rPr>
        <w:t>Starostwo Powiatowe w Żarach</w:t>
      </w:r>
    </w:p>
    <w:p w:rsidR="004A4CAB" w:rsidRDefault="00D154C4" w:rsidP="004A4CAB">
      <w:pPr>
        <w:pStyle w:val="dtz"/>
        <w:tabs>
          <w:tab w:val="left" w:pos="567"/>
        </w:tabs>
        <w:spacing w:before="0" w:after="0" w:line="276" w:lineRule="auto"/>
        <w:ind w:left="567"/>
        <w:jc w:val="both"/>
        <w:rPr>
          <w:rFonts w:cs="Arial"/>
        </w:rPr>
      </w:pPr>
      <w:r>
        <w:rPr>
          <w:rFonts w:cs="Arial"/>
        </w:rPr>
        <w:t>al. Jana Pawła II 5</w:t>
      </w:r>
    </w:p>
    <w:p w:rsidR="00ED7026" w:rsidRDefault="00D154C4" w:rsidP="004A4CAB">
      <w:pPr>
        <w:pStyle w:val="dtz"/>
        <w:tabs>
          <w:tab w:val="left" w:pos="567"/>
        </w:tabs>
        <w:spacing w:before="0" w:after="0" w:line="276" w:lineRule="auto"/>
        <w:ind w:left="567"/>
        <w:jc w:val="both"/>
        <w:rPr>
          <w:rFonts w:cs="Arial"/>
        </w:rPr>
      </w:pPr>
      <w:r>
        <w:rPr>
          <w:rFonts w:cs="Arial"/>
        </w:rPr>
        <w:t>68-200 Żary</w:t>
      </w:r>
    </w:p>
    <w:p w:rsidR="00ED7026" w:rsidRDefault="00ED7026">
      <w:pPr>
        <w:pStyle w:val="dtz"/>
        <w:tabs>
          <w:tab w:val="left" w:pos="567"/>
        </w:tabs>
        <w:spacing w:before="0" w:after="0" w:line="276" w:lineRule="auto"/>
        <w:jc w:val="right"/>
        <w:rPr>
          <w:rFonts w:ascii="Arial" w:hAnsi="Arial" w:cs="Arial"/>
          <w:i/>
        </w:rPr>
      </w:pPr>
    </w:p>
    <w:p w:rsidR="00ED7026" w:rsidRDefault="00ED7026">
      <w:pPr>
        <w:pStyle w:val="dtz"/>
        <w:tabs>
          <w:tab w:val="left" w:pos="567"/>
        </w:tabs>
        <w:spacing w:before="0" w:after="0" w:line="276" w:lineRule="auto"/>
        <w:jc w:val="right"/>
        <w:rPr>
          <w:rFonts w:ascii="Arial" w:hAnsi="Arial" w:cs="Arial"/>
          <w:i/>
        </w:rPr>
      </w:pPr>
    </w:p>
    <w:p w:rsidR="00ED7026" w:rsidRDefault="00ED7026">
      <w:pPr>
        <w:pStyle w:val="dtz"/>
        <w:pageBreakBefore/>
        <w:tabs>
          <w:tab w:val="left" w:pos="567"/>
        </w:tabs>
        <w:spacing w:before="0" w:after="0" w:line="276" w:lineRule="auto"/>
        <w:jc w:val="right"/>
        <w:rPr>
          <w:rFonts w:ascii="Arial" w:hAnsi="Arial" w:cs="Arial"/>
          <w:i/>
        </w:rPr>
      </w:pPr>
    </w:p>
    <w:p w:rsidR="00ED7026" w:rsidRDefault="00ED7026">
      <w:pPr>
        <w:pStyle w:val="dtz"/>
        <w:tabs>
          <w:tab w:val="left" w:pos="567"/>
        </w:tabs>
        <w:spacing w:before="0" w:after="0" w:line="276" w:lineRule="auto"/>
        <w:jc w:val="right"/>
        <w:rPr>
          <w:rFonts w:ascii="Arial" w:hAnsi="Arial" w:cs="Arial"/>
          <w:i/>
        </w:rPr>
      </w:pPr>
    </w:p>
    <w:p w:rsidR="00ED7026" w:rsidRDefault="00D154C4">
      <w:pPr>
        <w:pStyle w:val="dtz"/>
        <w:tabs>
          <w:tab w:val="left" w:pos="567"/>
        </w:tabs>
        <w:spacing w:before="0" w:after="0" w:line="276" w:lineRule="auto"/>
        <w:jc w:val="right"/>
        <w:rPr>
          <w:rFonts w:cs="Arial"/>
          <w:i/>
        </w:rPr>
      </w:pPr>
      <w:r>
        <w:rPr>
          <w:rFonts w:cs="Arial"/>
          <w:i/>
        </w:rPr>
        <w:t>Załącznik nr 1</w:t>
      </w:r>
    </w:p>
    <w:p w:rsidR="00ED7026" w:rsidRDefault="00D154C4">
      <w:pPr>
        <w:pStyle w:val="dtz"/>
        <w:tabs>
          <w:tab w:val="left" w:pos="567"/>
        </w:tabs>
        <w:spacing w:before="0" w:after="0" w:line="276" w:lineRule="auto"/>
        <w:jc w:val="right"/>
        <w:rPr>
          <w:rFonts w:cs="Arial"/>
          <w:i/>
        </w:rPr>
      </w:pPr>
      <w:r>
        <w:rPr>
          <w:rFonts w:cs="Arial"/>
          <w:i/>
        </w:rPr>
        <w:t xml:space="preserve">do Decyzji nr </w:t>
      </w:r>
      <w:r>
        <w:rPr>
          <w:rFonts w:cs="Arial"/>
          <w:i/>
        </w:rPr>
        <w:t>2/202</w:t>
      </w:r>
      <w:r w:rsidR="00306FE1">
        <w:rPr>
          <w:rFonts w:cs="Arial"/>
          <w:i/>
        </w:rPr>
        <w:t>2</w:t>
      </w:r>
    </w:p>
    <w:p w:rsidR="00ED7026" w:rsidRDefault="00D154C4">
      <w:pPr>
        <w:pStyle w:val="dtz"/>
        <w:tabs>
          <w:tab w:val="left" w:pos="567"/>
        </w:tabs>
        <w:spacing w:before="0" w:after="0" w:line="276" w:lineRule="auto"/>
        <w:jc w:val="right"/>
        <w:rPr>
          <w:rFonts w:cs="Arial"/>
          <w:i/>
        </w:rPr>
      </w:pPr>
      <w:r>
        <w:rPr>
          <w:rFonts w:cs="Arial"/>
          <w:i/>
        </w:rPr>
        <w:t>o środowiskowych uwarunkowaniach</w:t>
      </w:r>
    </w:p>
    <w:p w:rsidR="00ED7026" w:rsidRDefault="00D154C4">
      <w:pPr>
        <w:pStyle w:val="dtz"/>
        <w:tabs>
          <w:tab w:val="left" w:pos="567"/>
        </w:tabs>
        <w:spacing w:before="0" w:after="0" w:line="276" w:lineRule="auto"/>
        <w:jc w:val="right"/>
        <w:rPr>
          <w:rFonts w:cs="Arial"/>
          <w:i/>
        </w:rPr>
      </w:pPr>
      <w:r>
        <w:rPr>
          <w:rFonts w:cs="Arial"/>
          <w:i/>
        </w:rPr>
        <w:t xml:space="preserve">z dnia </w:t>
      </w:r>
      <w:r w:rsidR="00306FE1">
        <w:rPr>
          <w:rFonts w:cs="Arial"/>
          <w:i/>
        </w:rPr>
        <w:t>03</w:t>
      </w:r>
      <w:r>
        <w:rPr>
          <w:rFonts w:cs="Arial"/>
          <w:i/>
        </w:rPr>
        <w:t>.0</w:t>
      </w:r>
      <w:r w:rsidR="00306FE1">
        <w:rPr>
          <w:rFonts w:cs="Arial"/>
          <w:i/>
        </w:rPr>
        <w:t>8</w:t>
      </w:r>
      <w:r>
        <w:rPr>
          <w:rFonts w:cs="Arial"/>
          <w:i/>
        </w:rPr>
        <w:t>.202</w:t>
      </w:r>
      <w:r w:rsidR="00306FE1">
        <w:rPr>
          <w:rFonts w:cs="Arial"/>
          <w:i/>
        </w:rPr>
        <w:t>2</w:t>
      </w:r>
      <w:r>
        <w:rPr>
          <w:rFonts w:cs="Arial"/>
          <w:i/>
        </w:rPr>
        <w:t xml:space="preserve"> r.</w:t>
      </w:r>
    </w:p>
    <w:p w:rsidR="00ED7026" w:rsidRDefault="00D154C4">
      <w:pPr>
        <w:pStyle w:val="dtz"/>
        <w:tabs>
          <w:tab w:val="left" w:pos="567"/>
        </w:tabs>
        <w:spacing w:before="0" w:after="0" w:line="276" w:lineRule="auto"/>
        <w:jc w:val="right"/>
      </w:pPr>
      <w:r>
        <w:rPr>
          <w:rFonts w:cs="Arial"/>
          <w:bCs/>
          <w:i/>
        </w:rPr>
        <w:t xml:space="preserve">znak: </w:t>
      </w:r>
      <w:r>
        <w:rPr>
          <w:rFonts w:cs="Arial"/>
          <w:i/>
        </w:rPr>
        <w:t>OSII.6220.</w:t>
      </w:r>
      <w:r w:rsidR="00306FE1">
        <w:rPr>
          <w:rFonts w:cs="Arial"/>
          <w:i/>
        </w:rPr>
        <w:t>2</w:t>
      </w:r>
      <w:r>
        <w:rPr>
          <w:rFonts w:cs="Arial"/>
          <w:i/>
        </w:rPr>
        <w:t>.202</w:t>
      </w:r>
      <w:r w:rsidR="00306FE1">
        <w:rPr>
          <w:rFonts w:cs="Arial"/>
          <w:i/>
        </w:rPr>
        <w:t>1</w:t>
      </w:r>
      <w:r>
        <w:rPr>
          <w:rFonts w:cs="Arial"/>
          <w:i/>
        </w:rPr>
        <w:t>.KK</w:t>
      </w:r>
    </w:p>
    <w:p w:rsidR="00ED7026" w:rsidRDefault="00ED7026">
      <w:pPr>
        <w:pStyle w:val="dtz"/>
        <w:tabs>
          <w:tab w:val="left" w:pos="567"/>
        </w:tabs>
        <w:spacing w:before="0" w:after="0" w:line="276" w:lineRule="auto"/>
        <w:rPr>
          <w:rFonts w:ascii="Arial" w:hAnsi="Arial" w:cs="Arial"/>
          <w:b/>
          <w:i/>
        </w:rPr>
      </w:pPr>
    </w:p>
    <w:p w:rsidR="00ED7026" w:rsidRDefault="00ED7026">
      <w:pPr>
        <w:pStyle w:val="dtz"/>
        <w:tabs>
          <w:tab w:val="left" w:pos="567"/>
        </w:tabs>
        <w:spacing w:before="0" w:after="0" w:line="276" w:lineRule="auto"/>
        <w:jc w:val="center"/>
        <w:rPr>
          <w:rFonts w:ascii="Arial" w:hAnsi="Arial" w:cs="Arial"/>
          <w:b/>
          <w:i/>
        </w:rPr>
      </w:pPr>
    </w:p>
    <w:p w:rsidR="00ED7026" w:rsidRDefault="00D154C4">
      <w:pPr>
        <w:pStyle w:val="dtz"/>
        <w:tabs>
          <w:tab w:val="left" w:pos="567"/>
        </w:tabs>
        <w:spacing w:before="0" w:after="0" w:line="276" w:lineRule="auto"/>
        <w:jc w:val="center"/>
        <w:rPr>
          <w:rFonts w:cs="Arial"/>
          <w:b/>
          <w:i/>
        </w:rPr>
      </w:pPr>
      <w:r>
        <w:rPr>
          <w:rFonts w:cs="Arial"/>
          <w:b/>
          <w:i/>
        </w:rPr>
        <w:t>CHARAKTERYSTYKA PRZEDSIĘWZIĘCIA</w:t>
      </w:r>
    </w:p>
    <w:p w:rsidR="00ED7026" w:rsidRDefault="00ED7026">
      <w:pPr>
        <w:pStyle w:val="dtz"/>
        <w:tabs>
          <w:tab w:val="left" w:pos="567"/>
        </w:tabs>
        <w:spacing w:before="0" w:after="0" w:line="276" w:lineRule="auto"/>
        <w:jc w:val="center"/>
        <w:rPr>
          <w:rFonts w:ascii="Arial" w:hAnsi="Arial" w:cs="Arial"/>
          <w:b/>
          <w:i/>
        </w:rPr>
      </w:pPr>
    </w:p>
    <w:p w:rsidR="00ED7026" w:rsidRDefault="00ED7026">
      <w:pPr>
        <w:pStyle w:val="dtz"/>
        <w:tabs>
          <w:tab w:val="left" w:pos="567"/>
        </w:tabs>
        <w:spacing w:before="0" w:after="0" w:line="276" w:lineRule="auto"/>
        <w:jc w:val="center"/>
        <w:rPr>
          <w:rFonts w:ascii="Arial" w:hAnsi="Arial" w:cs="Arial"/>
          <w:b/>
          <w:i/>
        </w:rPr>
      </w:pPr>
    </w:p>
    <w:p w:rsidR="00ED7026" w:rsidRDefault="00D154C4">
      <w:pPr>
        <w:pStyle w:val="Standard"/>
        <w:jc w:val="both"/>
      </w:pPr>
      <w:r>
        <w:rPr>
          <w:rFonts w:ascii="Arial" w:hAnsi="Arial" w:cs="Arial"/>
          <w:b/>
          <w:bCs/>
          <w:sz w:val="24"/>
          <w:szCs w:val="24"/>
        </w:rPr>
        <w:t xml:space="preserve">1.  </w:t>
      </w:r>
      <w:r>
        <w:rPr>
          <w:rFonts w:ascii="Times New Roman" w:hAnsi="Times New Roman" w:cs="Arial"/>
          <w:b/>
          <w:bCs/>
          <w:sz w:val="24"/>
          <w:szCs w:val="24"/>
        </w:rPr>
        <w:t>Cel opracowania.</w:t>
      </w:r>
    </w:p>
    <w:p w:rsidR="00282223" w:rsidRDefault="00D154C4" w:rsidP="00DE6DB9">
      <w:pPr>
        <w:pStyle w:val="Akapitzlist"/>
        <w:tabs>
          <w:tab w:val="left" w:pos="851"/>
        </w:tabs>
        <w:spacing w:line="276" w:lineRule="auto"/>
        <w:ind w:left="284"/>
        <w:jc w:val="both"/>
        <w:rPr>
          <w:rFonts w:cs="Arial"/>
          <w:color w:val="000000"/>
          <w:spacing w:val="-4"/>
        </w:rPr>
      </w:pPr>
      <w:r>
        <w:rPr>
          <w:rFonts w:cs="Arial"/>
          <w:color w:val="000000"/>
          <w:spacing w:val="-4"/>
        </w:rPr>
        <w:t xml:space="preserve">Celem przedsięwzięcia jest </w:t>
      </w:r>
      <w:r w:rsidR="00DE6DB9" w:rsidRPr="00DE6DB9">
        <w:rPr>
          <w:rFonts w:cs="Arial"/>
          <w:color w:val="000000"/>
          <w:spacing w:val="-4"/>
        </w:rPr>
        <w:t xml:space="preserve">budowę elektrowni fotowoltaicznej o mocy do 3 MW wraz z niezbędną infrastrukturą towarzyszącą na działkach nr 188/1, 188/2, 189, 190/3, 193 obręb Tuplice, gmina Tuplice. Planowaną elektrownię fotowoltaiczną tworzyć będą: konstrukcje i elementy montażowe, panele fotowoltaiczne o mocy jednostkowej od 360 </w:t>
      </w:r>
      <w:proofErr w:type="spellStart"/>
      <w:r w:rsidR="00DE6DB9" w:rsidRPr="00DE6DB9">
        <w:rPr>
          <w:rFonts w:cs="Arial"/>
          <w:color w:val="000000"/>
          <w:spacing w:val="-4"/>
        </w:rPr>
        <w:t>Wp</w:t>
      </w:r>
      <w:proofErr w:type="spellEnd"/>
      <w:r w:rsidR="00DE6DB9" w:rsidRPr="00DE6DB9">
        <w:rPr>
          <w:rFonts w:cs="Arial"/>
          <w:color w:val="000000"/>
          <w:spacing w:val="-4"/>
        </w:rPr>
        <w:t xml:space="preserve"> do 500 </w:t>
      </w:r>
      <w:proofErr w:type="spellStart"/>
      <w:r w:rsidR="00DE6DB9" w:rsidRPr="00DE6DB9">
        <w:rPr>
          <w:rFonts w:cs="Arial"/>
          <w:color w:val="000000"/>
          <w:spacing w:val="-4"/>
        </w:rPr>
        <w:t>Wp</w:t>
      </w:r>
      <w:proofErr w:type="spellEnd"/>
      <w:r w:rsidR="00DE6DB9" w:rsidRPr="00DE6DB9">
        <w:rPr>
          <w:rFonts w:cs="Arial"/>
          <w:color w:val="000000"/>
          <w:spacing w:val="-4"/>
        </w:rPr>
        <w:t xml:space="preserve">, falowniki DC/AC  (3-150 szt.), okablowanie solarne, stacje transformatorowe </w:t>
      </w:r>
      <w:proofErr w:type="spellStart"/>
      <w:r w:rsidR="00DE6DB9" w:rsidRPr="00DE6DB9">
        <w:rPr>
          <w:rFonts w:cs="Arial"/>
          <w:color w:val="000000"/>
          <w:spacing w:val="-4"/>
        </w:rPr>
        <w:t>nN</w:t>
      </w:r>
      <w:proofErr w:type="spellEnd"/>
      <w:r w:rsidR="00DE6DB9" w:rsidRPr="00DE6DB9">
        <w:rPr>
          <w:rFonts w:cs="Arial"/>
          <w:color w:val="000000"/>
          <w:spacing w:val="-4"/>
        </w:rPr>
        <w:t>/SN (3 szt.), wyposażone w transformator olejowy lub suchy o mocy znamionowej do 2000 kVA, rozdzielnie, układ pomiarowy, układy zabezpieczające, linie kablowe niskiego i średniego napięcia oraz pozostałe oprzyrządowanie, drogi wewnętrzne nieutwardzone, ogrodzenie z siatki, monitoring, oświetlenie. Nie planuje się stałego oświetlenia elektrowni w porze nocnej. Wysokość konstrukcji wsporczej wraz z zamontowanymi panelami fotowoltaicznymi nie przekroczy 4 m. Na chwilę obecną nie jest znane miejsce przyłączenia inwestycji do Krajowego Systemu Elektroenergetycznego (KSE), które zostanie wskazane w warunkach przyłączeniowych. Dojazd do terenu przedsięwzięcia zapewni układ dróg lokalnych, które graniczą z działkami inwestycyjnymi.</w:t>
      </w:r>
    </w:p>
    <w:p w:rsidR="00ED7026" w:rsidRDefault="00D154C4" w:rsidP="00DE6DB9">
      <w:pPr>
        <w:pStyle w:val="Akapitzlist"/>
        <w:tabs>
          <w:tab w:val="left" w:pos="851"/>
        </w:tabs>
        <w:spacing w:line="276" w:lineRule="auto"/>
        <w:ind w:left="284"/>
        <w:jc w:val="both"/>
        <w:rPr>
          <w:color w:val="000000"/>
        </w:rPr>
      </w:pPr>
      <w:r>
        <w:rPr>
          <w:rFonts w:cs="Arial"/>
          <w:spacing w:val="-4"/>
        </w:rPr>
        <w:tab/>
        <w:t>Etap realizacji nie będzie związany ze znacząc</w:t>
      </w:r>
      <w:r>
        <w:rPr>
          <w:rFonts w:cs="Arial"/>
          <w:spacing w:val="-4"/>
        </w:rPr>
        <w:t>ymi oddziaływaniami. Będą to oddziaływania typowe dla robót budowlanych. Źródłem emisji zanieczyszczeń do powietrza i hałasu będą maszyny i urządzenia stosowane w trakcie realizacji inwestycji (transport elementów elektrowni oraz surowców budowlanych). Pra</w:t>
      </w:r>
      <w:r>
        <w:rPr>
          <w:rFonts w:cs="Arial"/>
          <w:spacing w:val="-4"/>
        </w:rPr>
        <w:t>ce prowadzone będą w porze dziennej, co ograniczy uciążliwości akustyczne. Teren budowy wyposażony będzie w przenośne toalety na ścieki bytowe. W trakcie budowy powstawać będą przede wszystkim odpady „budowlane” z grupy 17. Odpady te będą magazynowane sele</w:t>
      </w:r>
      <w:r>
        <w:rPr>
          <w:rFonts w:cs="Arial"/>
          <w:spacing w:val="-4"/>
        </w:rPr>
        <w:t>ktywnie na terenie budowy w odpowiednich pojemnikach i kontenerach oraz w pierwszej kolejności wykorzystywane na terenie budowy lub też przekazywane uprawnionym podmiotom do dalszego zagospodarowania. Budowa infrastruktury towarzyszącej wymagać będzie wyko</w:t>
      </w:r>
      <w:r>
        <w:rPr>
          <w:rFonts w:cs="Arial"/>
          <w:spacing w:val="-4"/>
        </w:rPr>
        <w:t>nania wykopów, w których ułożone będą linie kablowe. Po usytuowaniu okablowania, wykopy zostaną zasypane. Oddziaływania na etapie realizacji, pomimo tego, że mogą być źródłem pewnych uciążliwości i niedogodności dla lokalnej społeczności, będą miały charak</w:t>
      </w:r>
      <w:r>
        <w:rPr>
          <w:rFonts w:cs="Arial"/>
          <w:spacing w:val="-4"/>
        </w:rPr>
        <w:t xml:space="preserve">ter okresowy i ustaną po zakończeniu robót budowlanych. Ponadto, natężenie oddziaływań będzie skoncentrowane w rejonie prowadzenia budowy. </w:t>
      </w:r>
      <w:r>
        <w:rPr>
          <w:color w:val="000000"/>
        </w:rPr>
        <w:t>Z uwagi na rodzaj planowanej inwestycji, na etapie użytkowania występować będzie niezorganizowana emisja do powietrza</w:t>
      </w:r>
      <w:r>
        <w:rPr>
          <w:color w:val="000000"/>
        </w:rPr>
        <w:t xml:space="preserve"> związana z ruchem pojazdów po terenie inwestycji (prace serwisowe oraz mycie paneli) o charakterze nieznaczącym. Woda na etapie eksploatacji nie będzie pobierana i nie będą powstawać ścieki. Panele będą myte maksymalnie dwa razy do roku, przy użyciu czyst</w:t>
      </w:r>
      <w:r>
        <w:rPr>
          <w:color w:val="000000"/>
        </w:rPr>
        <w:t xml:space="preserve">ej wody. Wody opadowe i roztopowe będą odprowadzane powierzchniowo na teren działki. Działalność elektrowni może być źródłem niewielkich ilości odpadów, które będą </w:t>
      </w:r>
      <w:r>
        <w:rPr>
          <w:color w:val="000000"/>
        </w:rPr>
        <w:lastRenderedPageBreak/>
        <w:t>powstawać podczas prac serwisowych. Odpady te będą zagospodarowywane przez podmiot wykonując</w:t>
      </w:r>
      <w:r>
        <w:rPr>
          <w:color w:val="000000"/>
        </w:rPr>
        <w:t xml:space="preserve">y te prace. Ze względu na usytuowanie transformatorów w kontenerach oraz kabli energetycznych w ziemi brak będzie znaczącego oddziaływania w zakresie pola elekromagnetycznego. </w:t>
      </w:r>
      <w:r>
        <w:rPr>
          <w:rFonts w:cs="Arial"/>
          <w:spacing w:val="-4"/>
        </w:rPr>
        <w:t>Na etapie funkcjonowania instalacji, głównym źródłem emisji hałasu będą falownik</w:t>
      </w:r>
      <w:r>
        <w:rPr>
          <w:rFonts w:cs="Arial"/>
          <w:spacing w:val="-4"/>
        </w:rPr>
        <w:t xml:space="preserve">i oraz stacje transformatorowe, w których zainstalowane zostaną urządzenia, m.in.: transformator. Przewidywana moc akustyczna jednej stacji transformatorowej z włączonymi urządzeniami, w odległości 1 m od obudowy obiektu wyniesie 70 </w:t>
      </w:r>
      <w:proofErr w:type="spellStart"/>
      <w:r>
        <w:rPr>
          <w:rFonts w:cs="Arial"/>
          <w:spacing w:val="-4"/>
        </w:rPr>
        <w:t>dB</w:t>
      </w:r>
      <w:proofErr w:type="spellEnd"/>
      <w:r>
        <w:rPr>
          <w:rFonts w:cs="Arial"/>
          <w:spacing w:val="-4"/>
        </w:rPr>
        <w:t xml:space="preserve"> w porze dziennej i 4</w:t>
      </w:r>
      <w:r>
        <w:rPr>
          <w:rFonts w:cs="Arial"/>
          <w:spacing w:val="-4"/>
        </w:rPr>
        <w:t xml:space="preserve">0 </w:t>
      </w:r>
      <w:proofErr w:type="spellStart"/>
      <w:r>
        <w:rPr>
          <w:rFonts w:cs="Arial"/>
          <w:spacing w:val="-4"/>
        </w:rPr>
        <w:t>dB</w:t>
      </w:r>
      <w:proofErr w:type="spellEnd"/>
      <w:r>
        <w:rPr>
          <w:rFonts w:cs="Arial"/>
          <w:spacing w:val="-4"/>
        </w:rPr>
        <w:t xml:space="preserve"> w porze nocnej. Zlokalizowanie transformatora wewnątrz kontenera zabezpieczy ponadto środowisko wodno-gruntowe. W raporcie przedstawiono analizę propagacji hałasu z uwzględnieniem ww. stacji transformatorowych, z której to wynika, że nie zostaną przek</w:t>
      </w:r>
      <w:r>
        <w:rPr>
          <w:rFonts w:cs="Arial"/>
          <w:spacing w:val="-4"/>
        </w:rPr>
        <w:t>roczone dopuszczalne poziomy hałasu w środowisku dla terenów podlegających ochronie akustycznej. Najbliższa zabudowa mieszkaniowa położona jest w odległości ok. 20 m w kierunku zachodnim od granicy działki objętej inwestycją. Skutecznym sposobem minimalizo</w:t>
      </w:r>
      <w:r>
        <w:rPr>
          <w:rFonts w:cs="Arial"/>
          <w:spacing w:val="-4"/>
        </w:rPr>
        <w:t>wania oddziaływania barierowego, którego przyczyną jest ok. 0,8 kilometrowe ogrodzenie ww. elektrowni fotowoltaicznej, jest zastosowanie płotów z siatki o dużych oczkach i pozostawienie szczeliny pomiędzy gruntem a podstawą siatki. Taki montaż jest wystarc</w:t>
      </w:r>
      <w:r>
        <w:rPr>
          <w:rFonts w:cs="Arial"/>
          <w:spacing w:val="-4"/>
        </w:rPr>
        <w:t>zający dla przemieszczania się płazów, gadów i małych ssaków, w tym lisa, zająca. Wnioskodawca zaproponował takie rozwiązanie, a Regionalny Dyrektor Ochrony Środowiska w Gorzowie Wielkopolskim uznał tę propozycję za uzasadnioną i sformułował warunek dla in</w:t>
      </w:r>
      <w:r>
        <w:rPr>
          <w:rFonts w:cs="Arial"/>
          <w:spacing w:val="-4"/>
        </w:rPr>
        <w:t>westycji o treści: ogrodzenie elektrowni fotowoltaicznej montować z zachowaniem wolnej przestrzeni, o wysokości minimum piętnastu centymetrów, nad gruntem.</w:t>
      </w:r>
    </w:p>
    <w:p w:rsidR="00ED7026" w:rsidRDefault="00D154C4">
      <w:pPr>
        <w:pStyle w:val="Textbody"/>
        <w:tabs>
          <w:tab w:val="left" w:pos="1134"/>
        </w:tabs>
        <w:spacing w:after="283" w:line="276" w:lineRule="auto"/>
        <w:ind w:left="567" w:hanging="567"/>
        <w:rPr>
          <w:color w:val="000000"/>
        </w:rPr>
      </w:pPr>
      <w:r>
        <w:rPr>
          <w:rFonts w:cs="Arial"/>
          <w:spacing w:val="-4"/>
        </w:rPr>
        <w:tab/>
      </w:r>
      <w:r>
        <w:rPr>
          <w:rFonts w:cs="Arial"/>
          <w:spacing w:val="-4"/>
        </w:rPr>
        <w:t>Wg Planu gospodarowania wodami na obszarze dorzecza Odry, inwestycja zlokalizowana jest na terenie</w:t>
      </w:r>
      <w:r>
        <w:rPr>
          <w:rFonts w:cs="Arial"/>
          <w:spacing w:val="-4"/>
        </w:rPr>
        <w:t xml:space="preserve"> Jednolitej Części Wód Podziemnych nr 76, której stan chemiczny i stan ilościowy oceniono jako dobry. Osiągnięcie celów środowiskowych oceniono jako niezagrożone. Ponadto, przedsięwzięcie zlokalizowane jest na terenie Jednolitej Części Wód Powierzchniowych</w:t>
      </w:r>
      <w:r>
        <w:rPr>
          <w:rFonts w:cs="Arial"/>
          <w:spacing w:val="-4"/>
        </w:rPr>
        <w:t xml:space="preserve"> o nazwie Pstrąg o kodzie RW6000171748729 – jest to naturalna część wód, jej stan oceniono jako dobry, a osiągnięcie celów środowiskowych określono jako niezagrożone.</w:t>
      </w:r>
    </w:p>
    <w:p w:rsidR="00ED7026" w:rsidRDefault="00D154C4">
      <w:pPr>
        <w:pStyle w:val="Textbody"/>
        <w:tabs>
          <w:tab w:val="left" w:pos="1134"/>
        </w:tabs>
        <w:spacing w:after="283" w:line="276" w:lineRule="auto"/>
        <w:ind w:left="567" w:hanging="567"/>
      </w:pPr>
      <w:r>
        <w:rPr>
          <w:rFonts w:cs="Arial"/>
          <w:color w:val="000000"/>
          <w:spacing w:val="-4"/>
        </w:rPr>
        <w:tab/>
        <w:t>Przedsięwzięcie, z uwagi na jego lokalizację zarówno w wariancie realizacyjnym jak i alt</w:t>
      </w:r>
      <w:r>
        <w:rPr>
          <w:rFonts w:cs="Arial"/>
          <w:color w:val="000000"/>
          <w:spacing w:val="-4"/>
        </w:rPr>
        <w:t>ernatywnym i ograniczony zakres oddziaływania na środowisko, wobec zastosowanych rozwiązań, nie będzie wywoływać oddziaływań transgranicznych.</w:t>
      </w:r>
    </w:p>
    <w:p w:rsidR="00ED7026" w:rsidRDefault="00ED7026">
      <w:pPr>
        <w:pStyle w:val="Akapitzlist"/>
        <w:tabs>
          <w:tab w:val="left" w:pos="851"/>
        </w:tabs>
        <w:spacing w:line="276" w:lineRule="auto"/>
        <w:ind w:left="284"/>
        <w:jc w:val="both"/>
      </w:pPr>
    </w:p>
    <w:sectPr w:rsidR="00ED7026">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4C4" w:rsidRDefault="00D154C4">
      <w:pPr>
        <w:spacing w:after="0" w:line="240" w:lineRule="auto"/>
      </w:pPr>
      <w:r>
        <w:separator/>
      </w:r>
    </w:p>
  </w:endnote>
  <w:endnote w:type="continuationSeparator" w:id="0">
    <w:p w:rsidR="00D154C4" w:rsidRDefault="00D1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98" w:rsidRDefault="00D154C4">
    <w:pPr>
      <w:pStyle w:val="Stopka"/>
      <w:jc w:val="right"/>
    </w:pPr>
    <w:r>
      <w:fldChar w:fldCharType="begin"/>
    </w:r>
    <w:r>
      <w:instrText xml:space="preserve"> PAGE </w:instrText>
    </w:r>
    <w:r>
      <w:fldChar w:fldCharType="separate"/>
    </w:r>
    <w: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4C4" w:rsidRDefault="00D154C4">
      <w:pPr>
        <w:spacing w:after="0" w:line="240" w:lineRule="auto"/>
      </w:pPr>
      <w:r>
        <w:rPr>
          <w:color w:val="000000"/>
        </w:rPr>
        <w:separator/>
      </w:r>
    </w:p>
  </w:footnote>
  <w:footnote w:type="continuationSeparator" w:id="0">
    <w:p w:rsidR="00D154C4" w:rsidRDefault="00D15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3E1D"/>
    <w:multiLevelType w:val="multilevel"/>
    <w:tmpl w:val="412CBCC0"/>
    <w:styleLink w:val="WW8Num17"/>
    <w:lvl w:ilvl="0">
      <w:numFmt w:val="bullet"/>
      <w:lvlText w:val="-"/>
      <w:lvlJc w:val="left"/>
      <w:pPr>
        <w:ind w:left="1287" w:hanging="360"/>
      </w:pPr>
      <w:rPr>
        <w:rFonts w:ascii="Verdana" w:hAnsi="Verdana" w:cs="Verdana"/>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 w15:restartNumberingAfterBreak="0">
    <w:nsid w:val="13764279"/>
    <w:multiLevelType w:val="multilevel"/>
    <w:tmpl w:val="B6FC7580"/>
    <w:styleLink w:val="WW8Num8"/>
    <w:lvl w:ilvl="0">
      <w:numFmt w:val="bullet"/>
      <w:lvlText w:val="-"/>
      <w:lvlJc w:val="left"/>
      <w:pPr>
        <w:ind w:left="1287" w:hanging="360"/>
      </w:pPr>
      <w:rPr>
        <w:rFonts w:ascii="Verdana" w:hAnsi="Verdana" w:cs="Verdana"/>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 w15:restartNumberingAfterBreak="0">
    <w:nsid w:val="14052685"/>
    <w:multiLevelType w:val="multilevel"/>
    <w:tmpl w:val="F0F0DBC4"/>
    <w:lvl w:ilvl="0">
      <w:start w:val="3"/>
      <w:numFmt w:val="decimal"/>
      <w:lvlText w:val="%1."/>
      <w:lvlJc w:val="left"/>
      <w:pPr>
        <w:ind w:left="360" w:hanging="360"/>
      </w:pPr>
      <w:rPr>
        <w:rFonts w:eastAsia="Calibri"/>
      </w:rPr>
    </w:lvl>
    <w:lvl w:ilvl="1">
      <w:start w:val="1"/>
      <w:numFmt w:val="decimal"/>
      <w:lvlText w:val="%1.%2."/>
      <w:lvlJc w:val="left"/>
      <w:pPr>
        <w:ind w:left="720" w:hanging="720"/>
      </w:pPr>
      <w:rPr>
        <w:rFonts w:ascii="Times New Roman" w:eastAsia="Calibri" w:hAnsi="Times New Roman"/>
        <w:sz w:val="24"/>
      </w:rPr>
    </w:lvl>
    <w:lvl w:ilvl="2">
      <w:start w:val="1"/>
      <w:numFmt w:val="decimal"/>
      <w:lvlText w:val="%1.%2.%3."/>
      <w:lvlJc w:val="left"/>
      <w:pPr>
        <w:ind w:left="720" w:hanging="720"/>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1800" w:hanging="1800"/>
      </w:pPr>
      <w:rPr>
        <w:rFonts w:eastAsia="Calibri"/>
      </w:rPr>
    </w:lvl>
  </w:abstractNum>
  <w:abstractNum w:abstractNumId="3" w15:restartNumberingAfterBreak="0">
    <w:nsid w:val="14B46329"/>
    <w:multiLevelType w:val="multilevel"/>
    <w:tmpl w:val="C0609C30"/>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16C53A00"/>
    <w:multiLevelType w:val="multilevel"/>
    <w:tmpl w:val="A4FE2CEA"/>
    <w:styleLink w:val="WWNum16"/>
    <w:lvl w:ilvl="0">
      <w:numFmt w:val="bullet"/>
      <w:lvlText w:val="•"/>
      <w:lvlJc w:val="left"/>
      <w:rPr>
        <w:rFonts w:ascii="Times New Roman" w:eastAsia="Arial"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1878568A"/>
    <w:multiLevelType w:val="multilevel"/>
    <w:tmpl w:val="50426512"/>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20C72432"/>
    <w:multiLevelType w:val="multilevel"/>
    <w:tmpl w:val="925A1F2A"/>
    <w:styleLink w:val="WWNum27"/>
    <w:lvl w:ilvl="0">
      <w:numFmt w:val="bullet"/>
      <w:lvlText w:val="•"/>
      <w:lvlJc w:val="left"/>
      <w:rPr>
        <w:rFonts w:ascii="Times New Roman" w:eastAsia="Arial" w:hAnsi="Times New Roman" w:cs="Arial"/>
        <w:color w:val="00000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15:restartNumberingAfterBreak="0">
    <w:nsid w:val="27715EB9"/>
    <w:multiLevelType w:val="multilevel"/>
    <w:tmpl w:val="37180420"/>
    <w:styleLink w:val="WWNum2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15:restartNumberingAfterBreak="0">
    <w:nsid w:val="2CF45941"/>
    <w:multiLevelType w:val="multilevel"/>
    <w:tmpl w:val="A5984F42"/>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E290B57"/>
    <w:multiLevelType w:val="multilevel"/>
    <w:tmpl w:val="681A4B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E384B3E"/>
    <w:multiLevelType w:val="multilevel"/>
    <w:tmpl w:val="78B40E8C"/>
    <w:styleLink w:val="WWNum20"/>
    <w:lvl w:ilvl="0">
      <w:numFmt w:val="bullet"/>
      <w:lvlText w:val="•"/>
      <w:lvlJc w:val="left"/>
      <w:rPr>
        <w:rFonts w:ascii="Times New Roman" w:eastAsia="Arial"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15:restartNumberingAfterBreak="0">
    <w:nsid w:val="334D47D7"/>
    <w:multiLevelType w:val="multilevel"/>
    <w:tmpl w:val="748CC12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89E4113"/>
    <w:multiLevelType w:val="multilevel"/>
    <w:tmpl w:val="654EE0FC"/>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15:restartNumberingAfterBreak="0">
    <w:nsid w:val="3ADC3C35"/>
    <w:multiLevelType w:val="multilevel"/>
    <w:tmpl w:val="E01C5436"/>
    <w:styleLink w:val="WWNum3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15:restartNumberingAfterBreak="0">
    <w:nsid w:val="42BB455B"/>
    <w:multiLevelType w:val="multilevel"/>
    <w:tmpl w:val="F0EE9744"/>
    <w:styleLink w:val="WWNum17"/>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4545216D"/>
    <w:multiLevelType w:val="multilevel"/>
    <w:tmpl w:val="32BA8E2E"/>
    <w:styleLink w:val="WWNum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6" w15:restartNumberingAfterBreak="0">
    <w:nsid w:val="47EC753C"/>
    <w:multiLevelType w:val="multilevel"/>
    <w:tmpl w:val="ADC28A76"/>
    <w:styleLink w:val="WW8Num10"/>
    <w:lvl w:ilvl="0">
      <w:numFmt w:val="bullet"/>
      <w:lvlText w:val="-"/>
      <w:lvlJc w:val="left"/>
      <w:pPr>
        <w:ind w:left="1287" w:hanging="360"/>
      </w:pPr>
      <w:rPr>
        <w:rFonts w:ascii="Verdana" w:hAnsi="Verdana" w:cs="Verdana"/>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7" w15:restartNumberingAfterBreak="0">
    <w:nsid w:val="499E0802"/>
    <w:multiLevelType w:val="multilevel"/>
    <w:tmpl w:val="F0EC4AFA"/>
    <w:styleLink w:val="WWNum2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49DD79AF"/>
    <w:multiLevelType w:val="multilevel"/>
    <w:tmpl w:val="050630EA"/>
    <w:styleLink w:val="WWNum1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9" w15:restartNumberingAfterBreak="0">
    <w:nsid w:val="4CED6EF2"/>
    <w:multiLevelType w:val="hybridMultilevel"/>
    <w:tmpl w:val="06A41F52"/>
    <w:lvl w:ilvl="0" w:tplc="E632981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DAFA82">
      <w:start w:val="1"/>
      <w:numFmt w:val="lowerLetter"/>
      <w:lvlText w:val="%2"/>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56C090">
      <w:start w:val="1"/>
      <w:numFmt w:val="lowerRoman"/>
      <w:lvlText w:val="%3"/>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D216EC">
      <w:start w:val="1"/>
      <w:numFmt w:val="decimal"/>
      <w:lvlText w:val="%4"/>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E64E0C">
      <w:start w:val="1"/>
      <w:numFmt w:val="lowerLetter"/>
      <w:lvlText w:val="%5"/>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9C4C5C">
      <w:start w:val="1"/>
      <w:numFmt w:val="lowerRoman"/>
      <w:lvlText w:val="%6"/>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B6F6CE">
      <w:start w:val="1"/>
      <w:numFmt w:val="decimal"/>
      <w:lvlText w:val="%7"/>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061642">
      <w:start w:val="1"/>
      <w:numFmt w:val="lowerLetter"/>
      <w:lvlText w:val="%8"/>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BC6792">
      <w:start w:val="1"/>
      <w:numFmt w:val="lowerRoman"/>
      <w:lvlText w:val="%9"/>
      <w:lvlJc w:val="left"/>
      <w:pPr>
        <w:ind w:left="6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9C7837"/>
    <w:multiLevelType w:val="multilevel"/>
    <w:tmpl w:val="2FFADB80"/>
    <w:styleLink w:val="WWNum26"/>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15:restartNumberingAfterBreak="0">
    <w:nsid w:val="594B571C"/>
    <w:multiLevelType w:val="multilevel"/>
    <w:tmpl w:val="0B00513C"/>
    <w:styleLink w:val="WWNum1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5E907AF5"/>
    <w:multiLevelType w:val="multilevel"/>
    <w:tmpl w:val="9A72B304"/>
    <w:styleLink w:val="WWNum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09E52B2"/>
    <w:multiLevelType w:val="multilevel"/>
    <w:tmpl w:val="6966D5F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675B50DD"/>
    <w:multiLevelType w:val="multilevel"/>
    <w:tmpl w:val="E4F29590"/>
    <w:styleLink w:val="WWNum2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5" w15:restartNumberingAfterBreak="0">
    <w:nsid w:val="6BBC5DB6"/>
    <w:multiLevelType w:val="multilevel"/>
    <w:tmpl w:val="B5527C4E"/>
    <w:styleLink w:val="WWNum15"/>
    <w:lvl w:ilvl="0">
      <w:numFmt w:val="bullet"/>
      <w:lvlText w:val="•"/>
      <w:lvlJc w:val="left"/>
      <w:rPr>
        <w:rFonts w:ascii="Times New Roman" w:eastAsia="Arial"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15:restartNumberingAfterBreak="0">
    <w:nsid w:val="6DEC4E53"/>
    <w:multiLevelType w:val="multilevel"/>
    <w:tmpl w:val="33361F80"/>
    <w:styleLink w:val="WWNum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F9F04FA"/>
    <w:multiLevelType w:val="multilevel"/>
    <w:tmpl w:val="4A5ADCFE"/>
    <w:styleLink w:val="WWNum28"/>
    <w:lvl w:ilvl="0">
      <w:numFmt w:val="bullet"/>
      <w:lvlText w:val="•"/>
      <w:lvlJc w:val="left"/>
      <w:rPr>
        <w:rFonts w:ascii="Times New Roman" w:eastAsia="Arial" w:hAnsi="Times New Roman" w:cs="Arial"/>
        <w:color w:val="00000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8" w15:restartNumberingAfterBreak="0">
    <w:nsid w:val="71A81B18"/>
    <w:multiLevelType w:val="multilevel"/>
    <w:tmpl w:val="2012B8C6"/>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9" w15:restartNumberingAfterBreak="0">
    <w:nsid w:val="71E10C2F"/>
    <w:multiLevelType w:val="multilevel"/>
    <w:tmpl w:val="3A1214C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27B251A"/>
    <w:multiLevelType w:val="multilevel"/>
    <w:tmpl w:val="FB385E38"/>
    <w:styleLink w:val="WWNum1"/>
    <w:lvl w:ilvl="0">
      <w:start w:val="1"/>
      <w:numFmt w:val="decimal"/>
      <w:lvlText w:val="%1."/>
      <w:lvlJc w:val="left"/>
      <w:rPr>
        <w:b/>
      </w:rPr>
    </w:lvl>
    <w:lvl w:ilvl="1">
      <w:start w:val="1"/>
      <w:numFmt w:val="decimal"/>
      <w:lvlText w:val="%1.%2."/>
      <w:lvlJc w:val="left"/>
      <w:rPr>
        <w:rFonts w:cs="Times New Roman"/>
        <w:b w:val="0"/>
        <w:sz w:val="22"/>
        <w:szCs w:val="22"/>
      </w:rPr>
    </w:lvl>
    <w:lvl w:ilvl="2">
      <w:start w:val="1"/>
      <w:numFmt w:val="decimal"/>
      <w:lvlText w:val="%1.%2.%3."/>
      <w:lvlJc w:val="left"/>
      <w:rPr>
        <w:rFonts w:cs="Times New Roman"/>
        <w:b w:val="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72C71607"/>
    <w:multiLevelType w:val="multilevel"/>
    <w:tmpl w:val="8466B88C"/>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2" w15:restartNumberingAfterBreak="0">
    <w:nsid w:val="74871E5E"/>
    <w:multiLevelType w:val="multilevel"/>
    <w:tmpl w:val="6B0C0A32"/>
    <w:styleLink w:val="WWNum2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3" w15:restartNumberingAfterBreak="0">
    <w:nsid w:val="74DC6CCB"/>
    <w:multiLevelType w:val="multilevel"/>
    <w:tmpl w:val="50147804"/>
    <w:lvl w:ilvl="0">
      <w:start w:val="1"/>
      <w:numFmt w:val="decimal"/>
      <w:lvlText w:val="%1."/>
      <w:lvlJc w:val="left"/>
      <w:pPr>
        <w:ind w:left="720" w:hanging="360"/>
      </w:pPr>
    </w:lvl>
    <w:lvl w:ilvl="1">
      <w:start w:val="1"/>
      <w:numFmt w:val="decimal"/>
      <w:lvlText w:val="%1.%2."/>
      <w:lvlJc w:val="left"/>
      <w:pPr>
        <w:ind w:left="1080" w:hanging="720"/>
      </w:pPr>
      <w:rPr>
        <w:rFonts w:ascii="Times New Roman" w:hAnsi="Times New Roman" w:cs="Times New Roman" w:hint="default"/>
        <w:i w:val="0"/>
        <w:color w:val="auto"/>
        <w:sz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4" w15:restartNumberingAfterBreak="0">
    <w:nsid w:val="798D5BC1"/>
    <w:multiLevelType w:val="multilevel"/>
    <w:tmpl w:val="984AE3C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7AB25BFF"/>
    <w:multiLevelType w:val="multilevel"/>
    <w:tmpl w:val="328EC4BA"/>
    <w:styleLink w:val="WWNum1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6" w15:restartNumberingAfterBreak="0">
    <w:nsid w:val="7C6E4D67"/>
    <w:multiLevelType w:val="multilevel"/>
    <w:tmpl w:val="558C4910"/>
    <w:styleLink w:val="WWNum4"/>
    <w:lvl w:ilvl="0">
      <w:start w:val="1"/>
      <w:numFmt w:val="decimal"/>
      <w:lvlText w:val="%1."/>
      <w:lvlJc w:val="left"/>
      <w:rPr>
        <w:b w:val="0"/>
      </w:rPr>
    </w:lvl>
    <w:lvl w:ilvl="1">
      <w:start w:val="1"/>
      <w:numFmt w:val="decimal"/>
      <w:lvlText w:val="%1.%2."/>
      <w:lvlJc w:val="left"/>
      <w:rPr>
        <w:rFonts w:cs="Times New Roman"/>
        <w:b w:val="0"/>
        <w:sz w:val="22"/>
        <w:szCs w:val="22"/>
      </w:rPr>
    </w:lvl>
    <w:lvl w:ilvl="2">
      <w:start w:val="1"/>
      <w:numFmt w:val="decimal"/>
      <w:lvlText w:val="%1.%2.%3."/>
      <w:lvlJc w:val="left"/>
      <w:rPr>
        <w:rFonts w:cs="Times New Roman"/>
        <w:b w:val="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D812207"/>
    <w:multiLevelType w:val="multilevel"/>
    <w:tmpl w:val="5E566466"/>
    <w:styleLink w:val="WW8Num14"/>
    <w:lvl w:ilvl="0">
      <w:start w:val="1"/>
      <w:numFmt w:val="decimal"/>
      <w:lvlText w:val="%1."/>
      <w:lvlJc w:val="left"/>
      <w:pPr>
        <w:ind w:left="360" w:hanging="360"/>
      </w:pPr>
      <w:rPr>
        <w:rFonts w:ascii="Times New Roman" w:eastAsia="Times New Roman" w:hAnsi="Times New Roman" w:cs="Arial"/>
        <w:b w:val="0"/>
        <w:iCs/>
        <w:sz w:val="24"/>
        <w:szCs w:val="24"/>
        <w:lang w:eastAsia="pl-PL"/>
      </w:rPr>
    </w:lvl>
    <w:lvl w:ilvl="1">
      <w:start w:val="1"/>
      <w:numFmt w:val="decimal"/>
      <w:lvlText w:val="%1.%2."/>
      <w:lvlJc w:val="left"/>
      <w:pPr>
        <w:ind w:left="858" w:hanging="432"/>
      </w:pPr>
      <w:rPr>
        <w:rFonts w:ascii="Times New Roman" w:hAnsi="Times New Roman" w:cs="Arial"/>
        <w:b w:val="0"/>
        <w:i w:val="0"/>
        <w:lang w:eastAsia="pl-PL"/>
      </w:rPr>
    </w:lvl>
    <w:lvl w:ilvl="2">
      <w:start w:val="1"/>
      <w:numFmt w:val="decimal"/>
      <w:lvlText w:val="%1.%2.%3."/>
      <w:lvlJc w:val="left"/>
      <w:pPr>
        <w:ind w:left="1224" w:hanging="504"/>
      </w:pPr>
      <w:rPr>
        <w:rFonts w:ascii="Times New Roman" w:eastAsia="Times New Roman" w:hAnsi="Times New Roman" w:cs="Arial"/>
        <w:b w:val="0"/>
        <w:iCs/>
        <w:sz w:val="24"/>
        <w:szCs w:val="24"/>
        <w:lang w:eastAsia="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8"/>
  </w:num>
  <w:num w:numId="3">
    <w:abstractNumId w:val="5"/>
  </w:num>
  <w:num w:numId="4">
    <w:abstractNumId w:val="36"/>
  </w:num>
  <w:num w:numId="5">
    <w:abstractNumId w:val="11"/>
  </w:num>
  <w:num w:numId="6">
    <w:abstractNumId w:val="26"/>
  </w:num>
  <w:num w:numId="7">
    <w:abstractNumId w:val="29"/>
  </w:num>
  <w:num w:numId="8">
    <w:abstractNumId w:val="12"/>
  </w:num>
  <w:num w:numId="9">
    <w:abstractNumId w:val="22"/>
  </w:num>
  <w:num w:numId="10">
    <w:abstractNumId w:val="3"/>
  </w:num>
  <w:num w:numId="11">
    <w:abstractNumId w:val="8"/>
  </w:num>
  <w:num w:numId="12">
    <w:abstractNumId w:val="34"/>
  </w:num>
  <w:num w:numId="13">
    <w:abstractNumId w:val="35"/>
  </w:num>
  <w:num w:numId="14">
    <w:abstractNumId w:val="18"/>
  </w:num>
  <w:num w:numId="15">
    <w:abstractNumId w:val="25"/>
  </w:num>
  <w:num w:numId="16">
    <w:abstractNumId w:val="4"/>
  </w:num>
  <w:num w:numId="17">
    <w:abstractNumId w:val="14"/>
  </w:num>
  <w:num w:numId="18">
    <w:abstractNumId w:val="21"/>
  </w:num>
  <w:num w:numId="19">
    <w:abstractNumId w:val="31"/>
  </w:num>
  <w:num w:numId="20">
    <w:abstractNumId w:val="10"/>
  </w:num>
  <w:num w:numId="21">
    <w:abstractNumId w:val="15"/>
  </w:num>
  <w:num w:numId="22">
    <w:abstractNumId w:val="32"/>
  </w:num>
  <w:num w:numId="23">
    <w:abstractNumId w:val="17"/>
  </w:num>
  <w:num w:numId="24">
    <w:abstractNumId w:val="24"/>
  </w:num>
  <w:num w:numId="25">
    <w:abstractNumId w:val="7"/>
  </w:num>
  <w:num w:numId="26">
    <w:abstractNumId w:val="20"/>
  </w:num>
  <w:num w:numId="27">
    <w:abstractNumId w:val="6"/>
  </w:num>
  <w:num w:numId="28">
    <w:abstractNumId w:val="27"/>
  </w:num>
  <w:num w:numId="29">
    <w:abstractNumId w:val="23"/>
  </w:num>
  <w:num w:numId="30">
    <w:abstractNumId w:val="13"/>
  </w:num>
  <w:num w:numId="31">
    <w:abstractNumId w:val="37"/>
  </w:num>
  <w:num w:numId="32">
    <w:abstractNumId w:val="1"/>
  </w:num>
  <w:num w:numId="33">
    <w:abstractNumId w:val="0"/>
  </w:num>
  <w:num w:numId="34">
    <w:abstractNumId w:val="16"/>
  </w:num>
  <w:num w:numId="35">
    <w:abstractNumId w:val="36"/>
    <w:lvlOverride w:ilvl="0">
      <w:startOverride w:val="1"/>
    </w:lvlOverride>
  </w:num>
  <w:num w:numId="36">
    <w:abstractNumId w:val="11"/>
    <w:lvlOverride w:ilvl="0">
      <w:startOverride w:val="1"/>
    </w:lvlOverride>
  </w:num>
  <w:num w:numId="37">
    <w:abstractNumId w:val="9"/>
  </w:num>
  <w:num w:numId="38">
    <w:abstractNumId w:val="33"/>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D7026"/>
    <w:rsid w:val="00050FF1"/>
    <w:rsid w:val="000C3B8C"/>
    <w:rsid w:val="00105A12"/>
    <w:rsid w:val="00160815"/>
    <w:rsid w:val="00282223"/>
    <w:rsid w:val="00306FE1"/>
    <w:rsid w:val="003E1A54"/>
    <w:rsid w:val="004A4CAB"/>
    <w:rsid w:val="00551B75"/>
    <w:rsid w:val="00627161"/>
    <w:rsid w:val="00654520"/>
    <w:rsid w:val="00B56CC4"/>
    <w:rsid w:val="00B72D21"/>
    <w:rsid w:val="00C05A0A"/>
    <w:rsid w:val="00D154C4"/>
    <w:rsid w:val="00DE6DB9"/>
    <w:rsid w:val="00ED7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669D"/>
  <w15:docId w15:val="{CC9E57A9-0613-467F-B085-8D866619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after="0"/>
      <w:outlineLvl w:val="0"/>
    </w:pPr>
    <w:rPr>
      <w:rFonts w:ascii="Cambria" w:hAnsi="Cambria"/>
      <w:b/>
      <w:bCs/>
      <w:color w:val="365F91"/>
      <w:sz w:val="28"/>
      <w:szCs w:val="28"/>
    </w:rPr>
  </w:style>
  <w:style w:type="paragraph" w:styleId="Nagwek2">
    <w:name w:val="heading 2"/>
    <w:basedOn w:val="Standard"/>
    <w:next w:val="Textbody"/>
    <w:uiPriority w:val="9"/>
    <w:unhideWhenUsed/>
    <w:qFormat/>
    <w:pPr>
      <w:keepNext/>
      <w:keepLines/>
      <w:spacing w:before="200" w:after="0"/>
      <w:outlineLvl w:val="1"/>
    </w:pPr>
    <w:rPr>
      <w:rFonts w:ascii="Cambria" w:hAnsi="Cambria"/>
      <w:b/>
      <w:bCs/>
      <w:color w:val="4F81BD"/>
      <w:sz w:val="26"/>
      <w:szCs w:val="26"/>
    </w:rPr>
  </w:style>
  <w:style w:type="paragraph" w:styleId="Nagwek4">
    <w:name w:val="heading 4"/>
    <w:basedOn w:val="Standard"/>
    <w:next w:val="Textbody"/>
    <w:uiPriority w:val="9"/>
    <w:semiHidden/>
    <w:unhideWhenUsed/>
    <w:qFormat/>
    <w:pPr>
      <w:keepNext/>
      <w:keepLines/>
      <w:spacing w:before="200" w:after="0"/>
      <w:outlineLvl w:val="3"/>
    </w:pPr>
    <w:rPr>
      <w:rFonts w:ascii="Cambria" w:hAnsi="Cambria"/>
      <w:b/>
      <w:bCs/>
      <w:i/>
      <w:iCs/>
      <w:color w:val="4F81BD"/>
    </w:rPr>
  </w:style>
  <w:style w:type="paragraph" w:styleId="Nagwek5">
    <w:name w:val="heading 5"/>
    <w:basedOn w:val="Standard"/>
    <w:next w:val="Textbody"/>
    <w:uiPriority w:val="9"/>
    <w:semiHidden/>
    <w:unhideWhenUsed/>
    <w:qFormat/>
    <w:pPr>
      <w:keepNext/>
      <w:keepLines/>
      <w:spacing w:before="200" w:after="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Standard"/>
    <w:pPr>
      <w:ind w:left="283" w:hanging="283"/>
    </w:pPr>
    <w:rPr>
      <w:rFonts w:cs="Arial Unicode MS"/>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customStyle="1" w:styleId="Textbodyindent">
    <w:name w:val="Text body indent"/>
    <w:basedOn w:val="Standard"/>
    <w:pPr>
      <w:spacing w:after="0" w:line="240" w:lineRule="auto"/>
      <w:ind w:left="283" w:firstLine="360"/>
      <w:jc w:val="both"/>
    </w:pPr>
    <w:rPr>
      <w:rFonts w:ascii="Times New Roman" w:eastAsia="Times New Roman" w:hAnsi="Times New Roman" w:cs="Times New Roman"/>
      <w:sz w:val="24"/>
      <w:szCs w:val="24"/>
      <w:lang w:eastAsia="pl-PL"/>
    </w:rPr>
  </w:style>
  <w:style w:type="paragraph" w:styleId="Tekstpodstawowywcity3">
    <w:name w:val="Body Text Indent 3"/>
    <w:basedOn w:val="Standard"/>
    <w:pPr>
      <w:spacing w:after="120" w:line="240" w:lineRule="auto"/>
      <w:ind w:left="283"/>
    </w:pPr>
    <w:rPr>
      <w:rFonts w:ascii="Times New Roman" w:eastAsia="Calibri" w:hAnsi="Times New Roman" w:cs="Times New Roman"/>
      <w:sz w:val="16"/>
      <w:szCs w:val="16"/>
      <w:lang w:eastAsia="pl-PL"/>
    </w:rPr>
  </w:style>
  <w:style w:type="paragraph" w:styleId="Akapitzlist">
    <w:name w:val="List Paragraph"/>
    <w:basedOn w:val="Standard"/>
    <w:pPr>
      <w:spacing w:after="0" w:line="240" w:lineRule="auto"/>
      <w:ind w:left="720"/>
    </w:pPr>
    <w:rPr>
      <w:rFonts w:ascii="Times New Roman" w:eastAsia="Times New Roman" w:hAnsi="Times New Roman" w:cs="Times New Roman"/>
      <w:sz w:val="24"/>
      <w:szCs w:val="24"/>
      <w:lang w:eastAsia="pl-PL"/>
    </w:rPr>
  </w:style>
  <w:style w:type="paragraph" w:customStyle="1" w:styleId="dtz">
    <w:name w:val="dtz"/>
    <w:basedOn w:val="Standard"/>
    <w:pPr>
      <w:spacing w:before="100" w:after="100" w:line="240" w:lineRule="auto"/>
    </w:pPr>
    <w:rPr>
      <w:rFonts w:ascii="Times New Roman" w:eastAsia="Times New Roman" w:hAnsi="Times New Roman" w:cs="Times New Roman"/>
      <w:sz w:val="24"/>
      <w:szCs w:val="24"/>
      <w:lang w:eastAsia="pl-PL"/>
    </w:rPr>
  </w:style>
  <w:style w:type="paragraph" w:styleId="Lista2">
    <w:name w:val="List 2"/>
    <w:basedOn w:val="Standard"/>
    <w:pPr>
      <w:spacing w:after="120"/>
      <w:ind w:left="566" w:hanging="283"/>
    </w:pPr>
  </w:style>
  <w:style w:type="paragraph" w:styleId="Lista3">
    <w:name w:val="List 3"/>
    <w:basedOn w:val="Standard"/>
    <w:pPr>
      <w:spacing w:after="120"/>
      <w:ind w:left="849" w:hanging="283"/>
    </w:pPr>
  </w:style>
  <w:style w:type="paragraph" w:styleId="Listapunktowana2">
    <w:name w:val="List Bullet 2"/>
    <w:basedOn w:val="Standard"/>
  </w:style>
  <w:style w:type="paragraph" w:styleId="Lista-kontynuacja">
    <w:name w:val="List Continue"/>
    <w:basedOn w:val="Standard"/>
    <w:pPr>
      <w:spacing w:after="120"/>
      <w:ind w:left="283"/>
    </w:pPr>
  </w:style>
  <w:style w:type="paragraph" w:styleId="Lista-kontynuacja2">
    <w:name w:val="List Continue 2"/>
    <w:basedOn w:val="Standard"/>
    <w:pPr>
      <w:spacing w:after="120"/>
      <w:ind w:left="566"/>
    </w:pPr>
  </w:style>
  <w:style w:type="paragraph" w:styleId="Tekstpodstawowywcity">
    <w:name w:val="Body Text Indent"/>
    <w:basedOn w:val="Textbody"/>
    <w:pPr>
      <w:spacing w:after="200" w:line="276" w:lineRule="auto"/>
      <w:ind w:firstLine="360"/>
      <w:jc w:val="left"/>
    </w:pPr>
    <w:rPr>
      <w:rFonts w:ascii="Calibri" w:hAnsi="Calibri"/>
      <w:sz w:val="22"/>
      <w:szCs w:val="22"/>
      <w:lang w:eastAsia="en-US"/>
    </w:rPr>
  </w:style>
  <w:style w:type="paragraph" w:styleId="Tekstpodstawowywcity2">
    <w:name w:val="Body Text Indent 2"/>
    <w:basedOn w:val="Standard"/>
    <w:pPr>
      <w:spacing w:after="120" w:line="480" w:lineRule="auto"/>
      <w:ind w:left="283"/>
    </w:pPr>
  </w:style>
  <w:style w:type="paragraph" w:customStyle="1" w:styleId="Normalny1">
    <w:name w:val="Normalny1"/>
    <w:pPr>
      <w:widowControl/>
      <w:suppressAutoHyphens/>
    </w:pPr>
    <w:rPr>
      <w:rFonts w:ascii="Arial" w:eastAsia="Times New Roman" w:hAnsi="Arial" w:cs="Arial"/>
      <w:szCs w:val="18"/>
    </w:rPr>
  </w:style>
  <w:style w:type="paragraph" w:styleId="Bezodstpw">
    <w:name w:val="No Spacing"/>
    <w:pPr>
      <w:widowControl/>
      <w:suppressAutoHyphens/>
    </w:pPr>
    <w:rPr>
      <w:rFonts w:eastAsia="Times New Roman" w:cs="Calibri"/>
    </w:rPr>
  </w:style>
  <w:style w:type="paragraph" w:customStyle="1" w:styleId="Style38">
    <w:name w:val="Style38"/>
    <w:basedOn w:val="Standard"/>
    <w:pPr>
      <w:widowControl w:val="0"/>
      <w:spacing w:line="353" w:lineRule="exact"/>
      <w:ind w:hanging="324"/>
    </w:pPr>
    <w:rPr>
      <w:rFonts w:cs="Calibri"/>
      <w:szCs w:val="24"/>
    </w:rPr>
  </w:style>
  <w:style w:type="paragraph" w:customStyle="1" w:styleId="WW-Domylnie">
    <w:name w:val="WW-Domyślnie"/>
    <w:pPr>
      <w:widowControl/>
      <w:suppressAutoHyphens/>
    </w:pPr>
    <w:rPr>
      <w:rFonts w:ascii="Times New Roman" w:eastAsia="Times New Roman" w:hAnsi="Times New Roman" w:cs="Times New Roman"/>
      <w:sz w:val="24"/>
      <w:szCs w:val="20"/>
    </w:rPr>
  </w:style>
  <w:style w:type="paragraph" w:customStyle="1" w:styleId="Default">
    <w:name w:val="Default"/>
    <w:basedOn w:val="Standard"/>
    <w:pPr>
      <w:suppressAutoHyphens w:val="0"/>
      <w:autoSpaceDE w:val="0"/>
    </w:pPr>
    <w:rPr>
      <w:rFonts w:ascii="Times New Roman" w:eastAsia="Times New Roman" w:hAnsi="Times New Roman" w:cs="Times New Roman"/>
      <w:color w:val="000000"/>
      <w:sz w:val="24"/>
      <w:szCs w:val="24"/>
    </w:rPr>
  </w:style>
  <w:style w:type="paragraph" w:styleId="Stopka">
    <w:name w:val="footer"/>
    <w:basedOn w:val="Standard"/>
    <w:pPr>
      <w:suppressLineNumbers/>
      <w:tabs>
        <w:tab w:val="center" w:pos="4819"/>
        <w:tab w:val="right" w:pos="9638"/>
      </w:tabs>
    </w:pPr>
  </w:style>
  <w:style w:type="character" w:customStyle="1" w:styleId="Internetlink">
    <w:name w:val="Internet link"/>
    <w:basedOn w:val="Domylnaczcionkaakapitu"/>
    <w:rPr>
      <w:color w:val="0000FF"/>
      <w:u w:val="single"/>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rPr>
      <w:rFonts w:ascii="Times New Roman" w:eastAsia="Calibri" w:hAnsi="Times New Roman" w:cs="Times New Roman"/>
      <w:sz w:val="16"/>
      <w:szCs w:val="16"/>
      <w:lang w:eastAsia="pl-PL"/>
    </w:rPr>
  </w:style>
  <w:style w:type="character" w:customStyle="1" w:styleId="AkapitzlistZnak">
    <w:name w:val="Akapit z listą Znak"/>
    <w:basedOn w:val="Domylnaczcionkaakapitu"/>
    <w:rPr>
      <w:rFonts w:ascii="Times New Roman" w:eastAsia="Times New Roman" w:hAnsi="Times New Roman" w:cs="Times New Roman"/>
      <w:sz w:val="24"/>
      <w:szCs w:val="24"/>
      <w:lang w:eastAsia="pl-PL"/>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4Znak">
    <w:name w:val="Nagłówek 4 Znak"/>
    <w:basedOn w:val="Domylnaczcionkaakapitu"/>
    <w:rPr>
      <w:rFonts w:ascii="Cambria" w:hAnsi="Cambria"/>
      <w:b/>
      <w:bCs/>
      <w:i/>
      <w:iCs/>
      <w:color w:val="4F81BD"/>
    </w:rPr>
  </w:style>
  <w:style w:type="character" w:customStyle="1" w:styleId="Nagwek5Znak">
    <w:name w:val="Nagłówek 5 Znak"/>
    <w:basedOn w:val="Domylnaczcionkaakapitu"/>
    <w:rPr>
      <w:rFonts w:ascii="Cambria" w:hAnsi="Cambria"/>
      <w:color w:val="243F60"/>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lang w:eastAsia="pl-PL"/>
    </w:rPr>
  </w:style>
  <w:style w:type="character" w:customStyle="1" w:styleId="item-fieldvalue">
    <w:name w:val="item-fieldvalue"/>
    <w:basedOn w:val="Domylnaczcionkaakapitu"/>
  </w:style>
  <w:style w:type="character" w:customStyle="1" w:styleId="Tekstpodstawowywcity2Znak">
    <w:name w:val="Tekst podstawowy wcięty 2 Znak"/>
    <w:basedOn w:val="Domylnaczcionkaakapitu"/>
  </w:style>
  <w:style w:type="character" w:customStyle="1" w:styleId="CharacterStyle1">
    <w:name w:val="Character Style 1"/>
    <w:rPr>
      <w:rFonts w:ascii="Garamond" w:hAnsi="Garamond" w:cs="Garamond"/>
      <w:sz w:val="26"/>
      <w:szCs w:val="26"/>
    </w:rPr>
  </w:style>
  <w:style w:type="character" w:customStyle="1" w:styleId="ListLabel1">
    <w:name w:val="ListLabel 1"/>
    <w:rPr>
      <w:b/>
    </w:rPr>
  </w:style>
  <w:style w:type="character" w:customStyle="1" w:styleId="ListLabel2">
    <w:name w:val="ListLabel 2"/>
    <w:rPr>
      <w:rFonts w:cs="Times New Roman"/>
      <w:b w:val="0"/>
      <w:sz w:val="22"/>
      <w:szCs w:val="22"/>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Arial" w:cs="Arial"/>
    </w:rPr>
  </w:style>
  <w:style w:type="character" w:customStyle="1" w:styleId="ListLabel6">
    <w:name w:val="ListLabel 6"/>
    <w:rPr>
      <w:rFonts w:eastAsia="Times New Roman" w:cs="Times New Roman"/>
    </w:rPr>
  </w:style>
  <w:style w:type="character" w:customStyle="1" w:styleId="ListLabel7">
    <w:name w:val="ListLabel 7"/>
    <w:rPr>
      <w:rFonts w:eastAsia="Arial" w:cs="Arial"/>
      <w:color w:val="00000A"/>
    </w:rPr>
  </w:style>
  <w:style w:type="character" w:customStyle="1" w:styleId="BulletSymbols">
    <w:name w:val="Bullet Symbols"/>
    <w:rPr>
      <w:rFonts w:ascii="OpenSymbol" w:eastAsia="OpenSymbol" w:hAnsi="OpenSymbol" w:cs="OpenSymbol"/>
    </w:rPr>
  </w:style>
  <w:style w:type="character" w:customStyle="1" w:styleId="FontStyle23">
    <w:name w:val="Font Style23"/>
    <w:basedOn w:val="Domylnaczcionkaakapitu"/>
    <w:rPr>
      <w:rFonts w:ascii="Times New Roman" w:hAnsi="Times New Roman" w:cs="Times New Roman"/>
      <w:b/>
      <w:bCs/>
      <w:sz w:val="18"/>
      <w:szCs w:val="18"/>
    </w:rPr>
  </w:style>
  <w:style w:type="paragraph" w:styleId="Tekstdymka">
    <w:name w:val="Balloon Text"/>
    <w:basedOn w:val="Normalny"/>
    <w:link w:val="TekstdymkaZnak"/>
    <w:uiPriority w:val="99"/>
    <w:semiHidden/>
    <w:unhideWhenUsed/>
    <w:rsid w:val="003E1A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A54"/>
    <w:rPr>
      <w:rFonts w:ascii="Segoe UI" w:hAnsi="Segoe UI" w:cs="Segoe UI"/>
      <w:sz w:val="18"/>
      <w:szCs w:val="18"/>
    </w:rPr>
  </w:style>
  <w:style w:type="character" w:customStyle="1" w:styleId="NumberingSymbols">
    <w:name w:val="Numbering Symbols"/>
  </w:style>
  <w:style w:type="character" w:customStyle="1" w:styleId="WW8Num14z0">
    <w:name w:val="WW8Num14z0"/>
    <w:rPr>
      <w:rFonts w:ascii="Times New Roman" w:eastAsia="Times New Roman" w:hAnsi="Times New Roman" w:cs="Arial"/>
      <w:b w:val="0"/>
      <w:iCs/>
      <w:sz w:val="24"/>
      <w:szCs w:val="24"/>
      <w:lang w:eastAsia="pl-PL"/>
    </w:rPr>
  </w:style>
  <w:style w:type="character" w:customStyle="1" w:styleId="WW8Num14z1">
    <w:name w:val="WW8Num14z1"/>
    <w:rPr>
      <w:rFonts w:ascii="Times New Roman" w:hAnsi="Times New Roman" w:cs="Arial"/>
      <w:b w:val="0"/>
      <w:i w:val="0"/>
      <w:lang w:eastAsia="pl-P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8z0">
    <w:name w:val="WW8Num8z0"/>
    <w:rPr>
      <w:rFonts w:ascii="Verdana" w:hAnsi="Verdana" w:cs="Verdan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7z0">
    <w:name w:val="WW8Num17z0"/>
    <w:rPr>
      <w:rFonts w:ascii="Verdana" w:hAnsi="Verdana" w:cs="Verdan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0z0">
    <w:name w:val="WW8Num10z0"/>
    <w:rPr>
      <w:rFonts w:ascii="Verdana" w:hAnsi="Verdana" w:cs="Verdana"/>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8Num14">
    <w:name w:val="WW8Num14"/>
    <w:basedOn w:val="Bezlisty"/>
    <w:pPr>
      <w:numPr>
        <w:numId w:val="31"/>
      </w:numPr>
    </w:pPr>
  </w:style>
  <w:style w:type="numbering" w:customStyle="1" w:styleId="WW8Num8">
    <w:name w:val="WW8Num8"/>
    <w:basedOn w:val="Bezlisty"/>
    <w:pPr>
      <w:numPr>
        <w:numId w:val="32"/>
      </w:numPr>
    </w:pPr>
  </w:style>
  <w:style w:type="numbering" w:customStyle="1" w:styleId="WW8Num17">
    <w:name w:val="WW8Num17"/>
    <w:basedOn w:val="Bezlisty"/>
    <w:pPr>
      <w:numPr>
        <w:numId w:val="33"/>
      </w:numPr>
    </w:pPr>
  </w:style>
  <w:style w:type="numbering" w:customStyle="1" w:styleId="WW8Num10">
    <w:name w:val="WW8Num10"/>
    <w:basedOn w:val="Bezlisty"/>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K.Kromp/AppData/Local/Temp/Tuplice%20dec%20o%20&#347;rodowiskowych%20uwar%20inwestycji%20-%20Lubsko%2021.03.2019..od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8518</Words>
  <Characters>51108</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user</cp:lastModifiedBy>
  <cp:revision>10</cp:revision>
  <cp:lastPrinted>2022-08-03T10:52:00Z</cp:lastPrinted>
  <dcterms:created xsi:type="dcterms:W3CDTF">2022-08-03T09:41:00Z</dcterms:created>
  <dcterms:modified xsi:type="dcterms:W3CDTF">2022-08-03T10:59:00Z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